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6B87" w:rsidRPr="00DD78B9" w:rsidRDefault="00CC6B87" w:rsidP="00CC6B87">
      <w:pPr>
        <w:pStyle w:val="CRCoverPage"/>
        <w:outlineLvl w:val="0"/>
        <w:rPr>
          <w:rFonts w:cs="Arial"/>
          <w:b/>
          <w:sz w:val="24"/>
          <w:szCs w:val="24"/>
          <w:lang w:val="en-US"/>
        </w:rPr>
      </w:pPr>
      <w:bookmarkStart w:id="0" w:name="Title"/>
      <w:bookmarkStart w:id="1" w:name="DocumentFor"/>
      <w:bookmarkStart w:id="2" w:name="_Toc193024528"/>
      <w:bookmarkEnd w:id="0"/>
      <w:bookmarkEnd w:id="1"/>
      <w:r w:rsidRPr="00DD78B9">
        <w:rPr>
          <w:rFonts w:cs="Arial"/>
          <w:b/>
          <w:sz w:val="24"/>
          <w:szCs w:val="24"/>
          <w:lang w:val="en-US"/>
        </w:rPr>
        <w:t>3GPP TSG-RAN WG4 Meeting # 100-e</w:t>
      </w:r>
      <w:r w:rsidRPr="00DD78B9">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t xml:space="preserve">     </w:t>
      </w:r>
      <w:r w:rsidRPr="00DD78B9">
        <w:rPr>
          <w:rFonts w:cs="Arial"/>
          <w:b/>
          <w:sz w:val="24"/>
          <w:szCs w:val="24"/>
          <w:lang w:val="en-US"/>
        </w:rPr>
        <w:t>R4-21</w:t>
      </w:r>
      <w:r w:rsidR="00CE2D4C">
        <w:rPr>
          <w:rFonts w:cs="Arial"/>
          <w:b/>
          <w:sz w:val="24"/>
          <w:szCs w:val="24"/>
          <w:lang w:val="en-US"/>
        </w:rPr>
        <w:t>12608</w:t>
      </w:r>
      <w:bookmarkStart w:id="3" w:name="_GoBack"/>
      <w:bookmarkEnd w:id="3"/>
    </w:p>
    <w:p w:rsidR="00DB2AC9" w:rsidRPr="00992D9C" w:rsidRDefault="00CC6B87" w:rsidP="00CC6B87">
      <w:pPr>
        <w:pStyle w:val="CRCoverPage"/>
        <w:outlineLvl w:val="0"/>
        <w:rPr>
          <w:rFonts w:eastAsia="宋体"/>
          <w:b/>
          <w:i/>
          <w:sz w:val="24"/>
          <w:lang w:eastAsia="zh-CN"/>
        </w:rPr>
      </w:pPr>
      <w:r w:rsidRPr="00DD78B9">
        <w:rPr>
          <w:rFonts w:cs="Arial"/>
          <w:b/>
          <w:sz w:val="24"/>
          <w:szCs w:val="24"/>
          <w:lang w:val="en-US"/>
        </w:rPr>
        <w:t>Electronic Meeting, August 16-27, 202</w:t>
      </w:r>
      <w:r w:rsidR="00B5385D">
        <w:rPr>
          <w:rFonts w:eastAsia="宋体"/>
          <w:b/>
          <w:sz w:val="24"/>
          <w:szCs w:val="24"/>
          <w:lang w:eastAsia="zh-CN"/>
        </w:rPr>
        <w:t>1</w:t>
      </w:r>
    </w:p>
    <w:p w:rsidR="00DB2AC9" w:rsidRPr="00E9342B" w:rsidRDefault="00DB2AC9" w:rsidP="00DB2AC9">
      <w:pPr>
        <w:tabs>
          <w:tab w:val="left" w:pos="1985"/>
        </w:tabs>
        <w:ind w:left="1980" w:hanging="1980"/>
        <w:rPr>
          <w:rStyle w:val="a9"/>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sidR="008E4D23">
        <w:rPr>
          <w:rFonts w:ascii="Arial" w:hAnsi="Arial"/>
          <w:sz w:val="24"/>
          <w:lang w:val="en-US"/>
        </w:rPr>
        <w:t xml:space="preserve">further discussion </w:t>
      </w:r>
      <w:r>
        <w:rPr>
          <w:rFonts w:ascii="Arial" w:hAnsi="Arial" w:hint="eastAsia"/>
          <w:sz w:val="24"/>
          <w:lang w:val="en-US" w:eastAsia="zh-CN"/>
        </w:rPr>
        <w:t>on</w:t>
      </w:r>
      <w:r w:rsidR="00B03CB3">
        <w:rPr>
          <w:rFonts w:ascii="Arial" w:hAnsi="Arial"/>
          <w:sz w:val="24"/>
          <w:lang w:val="en-US"/>
        </w:rPr>
        <w:t xml:space="preserve"> </w:t>
      </w:r>
      <w:r w:rsidR="00081ABB">
        <w:rPr>
          <w:rFonts w:ascii="Arial" w:hAnsi="Arial"/>
          <w:sz w:val="24"/>
          <w:lang w:val="en-US"/>
        </w:rPr>
        <w:t xml:space="preserve">V2X HPUE power class signaling </w:t>
      </w:r>
    </w:p>
    <w:p w:rsidR="00DB2AC9" w:rsidRPr="00492450" w:rsidRDefault="00DB2AC9" w:rsidP="00DB2AC9">
      <w:pPr>
        <w:tabs>
          <w:tab w:val="left" w:pos="1985"/>
        </w:tabs>
        <w:rPr>
          <w:rStyle w:val="a9"/>
          <w:lang w:val="fr-FR"/>
        </w:rPr>
      </w:pPr>
      <w:r w:rsidRPr="00492450">
        <w:rPr>
          <w:rFonts w:ascii="Arial" w:hAnsi="Arial"/>
          <w:b/>
          <w:sz w:val="24"/>
          <w:lang w:val="fr-FR"/>
        </w:rPr>
        <w:t xml:space="preserve">Source: </w:t>
      </w:r>
      <w:r w:rsidRPr="00492450">
        <w:rPr>
          <w:rFonts w:ascii="Arial" w:hAnsi="Arial"/>
          <w:b/>
          <w:sz w:val="24"/>
          <w:lang w:val="fr-FR"/>
        </w:rPr>
        <w:tab/>
      </w:r>
      <w:r>
        <w:rPr>
          <w:rStyle w:val="a9"/>
          <w:lang w:val="fr-FR"/>
        </w:rPr>
        <w:t>Xiaomi</w:t>
      </w:r>
    </w:p>
    <w:p w:rsidR="00DB2AC9" w:rsidRPr="00492450" w:rsidRDefault="00DB2AC9" w:rsidP="00DB2AC9">
      <w:pPr>
        <w:tabs>
          <w:tab w:val="left" w:pos="1985"/>
        </w:tabs>
        <w:rPr>
          <w:rStyle w:val="a9"/>
          <w:lang w:val="pt-BR"/>
        </w:rPr>
      </w:pPr>
      <w:r w:rsidRPr="00492450">
        <w:rPr>
          <w:rFonts w:ascii="Arial" w:hAnsi="Arial"/>
          <w:b/>
          <w:sz w:val="24"/>
          <w:lang w:val="pt-BR"/>
        </w:rPr>
        <w:t>Agenda item:</w:t>
      </w:r>
      <w:r w:rsidRPr="00492450">
        <w:rPr>
          <w:rFonts w:ascii="Arial" w:hAnsi="Arial"/>
          <w:sz w:val="24"/>
          <w:lang w:val="pt-BR"/>
        </w:rPr>
        <w:tab/>
      </w:r>
      <w:r w:rsidR="00CC6B87">
        <w:rPr>
          <w:rFonts w:ascii="Arial" w:hAnsi="Arial"/>
          <w:sz w:val="24"/>
          <w:lang w:val="pt-BR"/>
        </w:rPr>
        <w:t>9.15</w:t>
      </w:r>
      <w:r w:rsidR="00951CF8">
        <w:rPr>
          <w:rFonts w:ascii="Arial" w:hAnsi="Arial"/>
          <w:sz w:val="24"/>
          <w:lang w:val="pt-BR"/>
        </w:rPr>
        <w:t>.6.3</w:t>
      </w:r>
    </w:p>
    <w:p w:rsidR="00DB2AC9" w:rsidRPr="00492450" w:rsidRDefault="00DB2AC9" w:rsidP="00DB2AC9">
      <w:pPr>
        <w:tabs>
          <w:tab w:val="left" w:pos="1985"/>
        </w:tabs>
        <w:ind w:left="1980" w:hanging="1980"/>
        <w:rPr>
          <w:rStyle w:val="a9"/>
          <w:lang w:val="pt-BR"/>
        </w:rPr>
      </w:pPr>
      <w:r w:rsidRPr="00492450">
        <w:rPr>
          <w:rFonts w:ascii="Arial" w:hAnsi="Arial"/>
          <w:b/>
          <w:sz w:val="24"/>
          <w:lang w:val="pt-BR"/>
        </w:rPr>
        <w:t>Document for:</w:t>
      </w:r>
      <w:r w:rsidRPr="00492450">
        <w:rPr>
          <w:rFonts w:ascii="Arial" w:hAnsi="Arial"/>
          <w:sz w:val="24"/>
          <w:lang w:val="pt-BR"/>
        </w:rPr>
        <w:tab/>
      </w:r>
      <w:r w:rsidR="00BA648E">
        <w:rPr>
          <w:rFonts w:ascii="Arial" w:hAnsi="Arial"/>
          <w:sz w:val="24"/>
          <w:lang w:val="pt-BR"/>
        </w:rPr>
        <w:t>Approval</w:t>
      </w:r>
    </w:p>
    <w:p w:rsidR="00DB2AC9" w:rsidRPr="00492450" w:rsidRDefault="00DB2AC9" w:rsidP="00DB2AC9">
      <w:pPr>
        <w:pStyle w:val="1"/>
        <w:rPr>
          <w:lang w:eastAsia="zh-CN"/>
        </w:rPr>
      </w:pPr>
      <w:r>
        <w:rPr>
          <w:rFonts w:hint="eastAsia"/>
          <w:lang w:eastAsia="zh-CN"/>
        </w:rPr>
        <w:t>Background</w:t>
      </w:r>
    </w:p>
    <w:p w:rsidR="00DB2AC9" w:rsidRPr="00805BF5" w:rsidRDefault="009B75C0" w:rsidP="00DB2AC9">
      <w:pPr>
        <w:rPr>
          <w:lang w:val="en-US" w:eastAsia="zh-CN"/>
        </w:rPr>
      </w:pPr>
      <w:r>
        <w:rPr>
          <w:lang w:val="en-US" w:eastAsia="zh-CN"/>
        </w:rPr>
        <w:t xml:space="preserve">The HPUE </w:t>
      </w:r>
      <w:r w:rsidR="00081ABB">
        <w:rPr>
          <w:lang w:val="en-US" w:eastAsia="zh-CN"/>
        </w:rPr>
        <w:t>power class signaling issue has been</w:t>
      </w:r>
      <w:r w:rsidR="00951CF8">
        <w:rPr>
          <w:lang w:val="en-US" w:eastAsia="zh-CN"/>
        </w:rPr>
        <w:t xml:space="preserve"> discussed in RAN4#98</w:t>
      </w:r>
      <w:r w:rsidR="008E4D23">
        <w:rPr>
          <w:lang w:val="en-US" w:eastAsia="zh-CN"/>
        </w:rPr>
        <w:t>-bis</w:t>
      </w:r>
      <w:r w:rsidR="00951CF8">
        <w:rPr>
          <w:lang w:val="en-US" w:eastAsia="zh-CN"/>
        </w:rPr>
        <w:t>-e and a WF</w:t>
      </w:r>
      <w:r w:rsidR="00F126FB">
        <w:rPr>
          <w:lang w:val="en-US" w:eastAsia="zh-CN"/>
        </w:rPr>
        <w:t xml:space="preserve"> </w:t>
      </w:r>
      <w:r w:rsidR="00951CF8">
        <w:rPr>
          <w:lang w:val="en-US" w:eastAsia="zh-CN"/>
        </w:rPr>
        <w:t>[1] has been agreed</w:t>
      </w:r>
      <w:r w:rsidR="008E4D23">
        <w:rPr>
          <w:lang w:val="en-US" w:eastAsia="zh-CN"/>
        </w:rPr>
        <w:t xml:space="preserve"> as to further study the PC2 signaling necessity</w:t>
      </w:r>
      <w:r w:rsidR="00951CF8">
        <w:rPr>
          <w:lang w:val="en-US" w:eastAsia="zh-CN"/>
        </w:rPr>
        <w:t>.</w:t>
      </w:r>
      <w:r w:rsidR="008E4D23">
        <w:rPr>
          <w:lang w:val="en-US" w:eastAsia="zh-CN"/>
        </w:rPr>
        <w:t xml:space="preserve"> In this paper, we give further discussion on this issue a</w:t>
      </w:r>
      <w:r w:rsidR="00F126FB">
        <w:rPr>
          <w:lang w:val="en-US" w:eastAsia="zh-CN"/>
        </w:rPr>
        <w:t>s combining</w:t>
      </w:r>
      <w:r w:rsidR="008E4D23">
        <w:rPr>
          <w:lang w:val="en-US" w:eastAsia="zh-CN"/>
        </w:rPr>
        <w:t xml:space="preserve"> more scenarios.</w:t>
      </w:r>
    </w:p>
    <w:p w:rsidR="00DB2AC9" w:rsidRPr="00492450" w:rsidRDefault="00DB2AC9" w:rsidP="00DB2AC9">
      <w:pPr>
        <w:pStyle w:val="1"/>
        <w:rPr>
          <w:lang w:eastAsia="zh-CN"/>
        </w:rPr>
      </w:pPr>
      <w:bookmarkStart w:id="4" w:name="OLE_LINK1"/>
      <w:bookmarkStart w:id="5" w:name="OLE_LINK2"/>
      <w:r w:rsidRPr="00492450">
        <w:rPr>
          <w:rFonts w:hint="eastAsia"/>
          <w:lang w:eastAsia="zh-CN"/>
        </w:rPr>
        <w:t>Discussion</w:t>
      </w:r>
    </w:p>
    <w:p w:rsidR="008E50A8" w:rsidRDefault="008E50A8" w:rsidP="00480F2E">
      <w:pPr>
        <w:rPr>
          <w:lang w:val="en-US" w:eastAsia="zh-CN"/>
        </w:rPr>
      </w:pPr>
      <w:r>
        <w:rPr>
          <w:lang w:val="en-US" w:eastAsia="zh-CN"/>
        </w:rPr>
        <w:t>The WF agreement of V2X PC2 power class capability has been captured as below. As during the 2</w:t>
      </w:r>
      <w:r w:rsidRPr="008E50A8">
        <w:rPr>
          <w:vertAlign w:val="superscript"/>
          <w:lang w:val="en-US" w:eastAsia="zh-CN"/>
        </w:rPr>
        <w:t>nd</w:t>
      </w:r>
      <w:r>
        <w:rPr>
          <w:lang w:val="en-US" w:eastAsia="zh-CN"/>
        </w:rPr>
        <w:t xml:space="preserve"> round discussion, it seems that most companies that have shared their view support option 1 as only define power class capability for PC2.</w:t>
      </w:r>
    </w:p>
    <w:p w:rsidR="008E50A8" w:rsidRDefault="008E50A8" w:rsidP="008E50A8">
      <w:pPr>
        <w:jc w:val="center"/>
        <w:rPr>
          <w:lang w:val="en-US" w:eastAsia="zh-CN"/>
        </w:rPr>
      </w:pPr>
      <w:r>
        <w:rPr>
          <w:noProof/>
          <w:lang w:val="en-US" w:eastAsia="zh-CN"/>
        </w:rPr>
        <w:drawing>
          <wp:inline distT="0" distB="0" distL="0" distR="0" wp14:anchorId="34A1B859" wp14:editId="67540132">
            <wp:extent cx="4464050" cy="1752013"/>
            <wp:effectExtent l="19050" t="19050" r="12700" b="196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477608" cy="1757334"/>
                    </a:xfrm>
                    <a:prstGeom prst="rect">
                      <a:avLst/>
                    </a:prstGeom>
                    <a:ln>
                      <a:solidFill>
                        <a:schemeClr val="accent1"/>
                      </a:solidFill>
                    </a:ln>
                  </pic:spPr>
                </pic:pic>
              </a:graphicData>
            </a:graphic>
          </wp:inline>
        </w:drawing>
      </w:r>
    </w:p>
    <w:p w:rsidR="008E50A8" w:rsidRDefault="008E50A8" w:rsidP="00480F2E">
      <w:pPr>
        <w:rPr>
          <w:lang w:val="en-US" w:eastAsia="zh-CN"/>
        </w:rPr>
      </w:pPr>
      <w:r>
        <w:rPr>
          <w:rFonts w:hint="eastAsia"/>
          <w:lang w:val="en-US" w:eastAsia="zh-CN"/>
        </w:rPr>
        <w:t>T</w:t>
      </w:r>
      <w:r>
        <w:rPr>
          <w:lang w:val="en-US" w:eastAsia="zh-CN"/>
        </w:rPr>
        <w:t xml:space="preserve">he power class capability signaling captured in TS 38.306 is a per band capability signaling </w:t>
      </w:r>
      <w:r>
        <w:rPr>
          <w:rFonts w:hint="eastAsia"/>
          <w:lang w:val="en-US" w:eastAsia="zh-CN"/>
        </w:rPr>
        <w:t>a</w:t>
      </w:r>
      <w:r>
        <w:rPr>
          <w:lang w:val="en-US" w:eastAsia="zh-CN"/>
        </w:rPr>
        <w:t>s shown below. In other words, the power class is band specific. Coming back to the V2X UE, the power class signaling need to be discussed with different scenarios.</w:t>
      </w:r>
    </w:p>
    <w:p w:rsidR="008E50A8" w:rsidRDefault="008E50A8" w:rsidP="008E50A8">
      <w:pPr>
        <w:jc w:val="center"/>
        <w:rPr>
          <w:lang w:val="en-US" w:eastAsia="zh-CN"/>
        </w:rPr>
      </w:pPr>
      <w:r>
        <w:rPr>
          <w:noProof/>
          <w:lang w:val="en-US" w:eastAsia="zh-CN"/>
        </w:rPr>
        <w:drawing>
          <wp:inline distT="0" distB="0" distL="0" distR="0" wp14:anchorId="26E43A91" wp14:editId="36A032DA">
            <wp:extent cx="5480050" cy="768579"/>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501953" cy="771651"/>
                    </a:xfrm>
                    <a:prstGeom prst="rect">
                      <a:avLst/>
                    </a:prstGeom>
                  </pic:spPr>
                </pic:pic>
              </a:graphicData>
            </a:graphic>
          </wp:inline>
        </w:drawing>
      </w:r>
    </w:p>
    <w:p w:rsidR="008E50A8" w:rsidRDefault="008E50A8" w:rsidP="00480F2E">
      <w:pPr>
        <w:rPr>
          <w:lang w:val="en-US" w:eastAsia="zh-CN"/>
        </w:rPr>
      </w:pPr>
      <w:r>
        <w:rPr>
          <w:rFonts w:hint="eastAsia"/>
          <w:lang w:val="en-US" w:eastAsia="zh-CN"/>
        </w:rPr>
        <w:t>A</w:t>
      </w:r>
      <w:r>
        <w:rPr>
          <w:lang w:val="en-US" w:eastAsia="zh-CN"/>
        </w:rPr>
        <w:t>lso in the WF</w:t>
      </w:r>
      <w:r w:rsidR="00F126FB">
        <w:rPr>
          <w:lang w:val="en-US" w:eastAsia="zh-CN"/>
        </w:rPr>
        <w:t xml:space="preserve"> </w:t>
      </w:r>
      <w:r>
        <w:rPr>
          <w:lang w:val="en-US" w:eastAsia="zh-CN"/>
        </w:rPr>
        <w:t>[1], the PC2 V2X scenarios with pri</w:t>
      </w:r>
      <w:r w:rsidR="00605AC6">
        <w:rPr>
          <w:lang w:val="en-US" w:eastAsia="zh-CN"/>
        </w:rPr>
        <w:t xml:space="preserve">ority have been agreed as below. </w:t>
      </w:r>
    </w:p>
    <w:p w:rsidR="008E50A8" w:rsidRDefault="008E50A8" w:rsidP="008E50A8">
      <w:pPr>
        <w:jc w:val="center"/>
        <w:rPr>
          <w:lang w:val="en-US" w:eastAsia="zh-CN"/>
        </w:rPr>
      </w:pPr>
      <w:r>
        <w:rPr>
          <w:noProof/>
          <w:lang w:val="en-US" w:eastAsia="zh-CN"/>
        </w:rPr>
        <w:drawing>
          <wp:inline distT="0" distB="0" distL="0" distR="0" wp14:anchorId="59427FC5" wp14:editId="4AA153D6">
            <wp:extent cx="4391520" cy="1858645"/>
            <wp:effectExtent l="19050" t="19050" r="28575" b="273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397981" cy="1861379"/>
                    </a:xfrm>
                    <a:prstGeom prst="rect">
                      <a:avLst/>
                    </a:prstGeom>
                    <a:ln>
                      <a:solidFill>
                        <a:schemeClr val="accent1"/>
                      </a:solidFill>
                    </a:ln>
                  </pic:spPr>
                </pic:pic>
              </a:graphicData>
            </a:graphic>
          </wp:inline>
        </w:drawing>
      </w:r>
    </w:p>
    <w:p w:rsidR="00167A00" w:rsidRDefault="00167A00" w:rsidP="005A03A7">
      <w:pPr>
        <w:spacing w:after="0"/>
        <w:ind w:firstLine="420"/>
        <w:rPr>
          <w:lang w:val="en-US" w:eastAsia="zh-CN"/>
        </w:rPr>
      </w:pPr>
      <w:r>
        <w:rPr>
          <w:lang w:val="en-US" w:eastAsia="zh-CN"/>
        </w:rPr>
        <w:t>In the following sessions we give discussion on current power class signaling design and further discuss if new design is needed for V2X PC2 case by case.</w:t>
      </w:r>
    </w:p>
    <w:p w:rsidR="00167A00" w:rsidRDefault="00167A00" w:rsidP="00167A00">
      <w:pPr>
        <w:rPr>
          <w:lang w:eastAsia="zh-CN"/>
        </w:rPr>
      </w:pPr>
      <w:r>
        <w:rPr>
          <w:lang w:val="en-US" w:eastAsia="zh-CN"/>
        </w:rPr>
        <w:t xml:space="preserve">1, </w:t>
      </w:r>
      <w:r w:rsidRPr="00605AC6">
        <w:rPr>
          <w:lang w:eastAsia="zh-CN"/>
        </w:rPr>
        <w:t>Single band + Single antenna: Single 26dBm architecture</w:t>
      </w:r>
    </w:p>
    <w:p w:rsidR="007F2979" w:rsidRDefault="007F2979" w:rsidP="00167A00">
      <w:pPr>
        <w:rPr>
          <w:lang w:eastAsia="zh-CN"/>
        </w:rPr>
      </w:pPr>
      <w:r>
        <w:rPr>
          <w:lang w:eastAsia="zh-CN"/>
        </w:rPr>
        <w:tab/>
        <w:t xml:space="preserve">For this PC2 scenario, current power class capability design is enough to cover. As the UE report the per band power class using </w:t>
      </w:r>
      <w:r w:rsidRPr="007F2979">
        <w:rPr>
          <w:i/>
          <w:lang w:eastAsia="zh-CN"/>
        </w:rPr>
        <w:t>ue-PowerClass</w:t>
      </w:r>
      <w:r>
        <w:rPr>
          <w:lang w:eastAsia="zh-CN"/>
        </w:rPr>
        <w:t xml:space="preserve"> to indicate PC2 in the specific band.</w:t>
      </w:r>
    </w:p>
    <w:p w:rsidR="005A03A7" w:rsidRPr="005A03A7" w:rsidRDefault="005A03A7" w:rsidP="00167A00">
      <w:pPr>
        <w:rPr>
          <w:b/>
          <w:lang w:eastAsia="zh-CN"/>
        </w:rPr>
      </w:pPr>
      <w:r w:rsidRPr="005A03A7">
        <w:rPr>
          <w:b/>
          <w:lang w:eastAsia="zh-CN"/>
        </w:rPr>
        <w:lastRenderedPageBreak/>
        <w:t>Observation 1: For single band and single antenna case, no new capability design for PC2 V2X is needed.</w:t>
      </w:r>
    </w:p>
    <w:p w:rsidR="00167A00" w:rsidRDefault="00167A00" w:rsidP="00167A00">
      <w:pPr>
        <w:rPr>
          <w:lang w:eastAsia="zh-CN"/>
        </w:rPr>
      </w:pPr>
      <w:r>
        <w:rPr>
          <w:lang w:eastAsia="zh-CN"/>
        </w:rPr>
        <w:t xml:space="preserve">2, </w:t>
      </w:r>
      <w:r w:rsidRPr="00605AC6">
        <w:rPr>
          <w:lang w:eastAsia="zh-CN"/>
        </w:rPr>
        <w:t>Single band + Multi antenna: TXD, SL-MIMO</w:t>
      </w:r>
    </w:p>
    <w:p w:rsidR="0002037D" w:rsidRDefault="007F2979" w:rsidP="00167A00">
      <w:pPr>
        <w:rPr>
          <w:lang w:eastAsia="zh-CN"/>
        </w:rPr>
      </w:pPr>
      <w:r>
        <w:rPr>
          <w:lang w:eastAsia="zh-CN"/>
        </w:rPr>
        <w:tab/>
        <w:t xml:space="preserve">This scenario is still single band case. </w:t>
      </w:r>
      <w:r w:rsidR="0002037D">
        <w:rPr>
          <w:lang w:eastAsia="zh-CN"/>
        </w:rPr>
        <w:t>Basically, a</w:t>
      </w:r>
      <w:r>
        <w:rPr>
          <w:lang w:eastAsia="zh-CN"/>
        </w:rPr>
        <w:t>s discussed in our previous meeting paper [2], the LTE V2X has defined specific PC2 for SL TXD. Considering that current main forum is also discussing the TXD sign</w:t>
      </w:r>
      <w:r w:rsidR="0002037D">
        <w:rPr>
          <w:lang w:eastAsia="zh-CN"/>
        </w:rPr>
        <w:t>alling starting from release 16 and a LS has sent to RAN2 informing the signalling design in [3]</w:t>
      </w:r>
      <w:r w:rsidR="0001330C">
        <w:rPr>
          <w:lang w:eastAsia="zh-CN"/>
        </w:rPr>
        <w:t>. A per band capability for TXD will be introduced for FR1 starting from Rel-16 as captured below:</w:t>
      </w:r>
    </w:p>
    <w:p w:rsidR="0001330C" w:rsidRDefault="0001330C" w:rsidP="0001330C">
      <w:pPr>
        <w:jc w:val="center"/>
        <w:rPr>
          <w:lang w:eastAsia="zh-CN"/>
        </w:rPr>
      </w:pPr>
      <w:r>
        <w:rPr>
          <w:noProof/>
          <w:lang w:val="en-US" w:eastAsia="zh-CN"/>
        </w:rPr>
        <w:drawing>
          <wp:inline distT="0" distB="0" distL="0" distR="0" wp14:anchorId="6819541E" wp14:editId="26D3AA80">
            <wp:extent cx="4953000" cy="805862"/>
            <wp:effectExtent l="19050" t="19050" r="19050" b="133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977261" cy="809809"/>
                    </a:xfrm>
                    <a:prstGeom prst="rect">
                      <a:avLst/>
                    </a:prstGeom>
                    <a:ln>
                      <a:solidFill>
                        <a:schemeClr val="accent1"/>
                      </a:solidFill>
                    </a:ln>
                  </pic:spPr>
                </pic:pic>
              </a:graphicData>
            </a:graphic>
          </wp:inline>
        </w:drawing>
      </w:r>
    </w:p>
    <w:p w:rsidR="0001330C" w:rsidRDefault="0001330C" w:rsidP="0001330C">
      <w:pPr>
        <w:rPr>
          <w:lang w:eastAsia="zh-CN"/>
        </w:rPr>
      </w:pPr>
      <w:r>
        <w:rPr>
          <w:lang w:eastAsia="zh-CN"/>
        </w:rPr>
        <w:tab/>
        <w:t>In this case, although RAN2 hasn’t defined the per band capability for TXD yet, we believe this per band signalling is suitable for the single band V2X TXD scenario hence no new signalling as LTE SL TXD should be defined.</w:t>
      </w:r>
    </w:p>
    <w:p w:rsidR="005A03A7" w:rsidRPr="005A03A7" w:rsidRDefault="0002037D" w:rsidP="00167A00">
      <w:pPr>
        <w:rPr>
          <w:b/>
          <w:lang w:eastAsia="zh-CN"/>
        </w:rPr>
      </w:pPr>
      <w:r w:rsidRPr="005A03A7">
        <w:rPr>
          <w:b/>
          <w:lang w:eastAsia="zh-CN"/>
        </w:rPr>
        <w:t xml:space="preserve"> </w:t>
      </w:r>
      <w:r w:rsidR="005A03A7" w:rsidRPr="005A03A7">
        <w:rPr>
          <w:b/>
          <w:lang w:eastAsia="zh-CN"/>
        </w:rPr>
        <w:t xml:space="preserve">Observation 2: For single band and multi antenna, </w:t>
      </w:r>
      <w:r w:rsidR="0001330C" w:rsidRPr="005A03A7">
        <w:rPr>
          <w:b/>
          <w:lang w:eastAsia="zh-CN"/>
        </w:rPr>
        <w:t>no new capability design for PC2 V2X</w:t>
      </w:r>
      <w:r w:rsidR="0001330C">
        <w:rPr>
          <w:b/>
          <w:lang w:eastAsia="zh-CN"/>
        </w:rPr>
        <w:t xml:space="preserve"> TXD</w:t>
      </w:r>
      <w:r w:rsidR="0001330C" w:rsidRPr="005A03A7">
        <w:rPr>
          <w:b/>
          <w:lang w:eastAsia="zh-CN"/>
        </w:rPr>
        <w:t xml:space="preserve"> is needed.</w:t>
      </w:r>
    </w:p>
    <w:p w:rsidR="00167A00" w:rsidRDefault="00167A00" w:rsidP="00167A00">
      <w:pPr>
        <w:rPr>
          <w:lang w:eastAsia="zh-CN"/>
        </w:rPr>
      </w:pPr>
      <w:r>
        <w:rPr>
          <w:lang w:eastAsia="zh-CN"/>
        </w:rPr>
        <w:t xml:space="preserve">3, </w:t>
      </w:r>
      <w:r w:rsidRPr="00605AC6">
        <w:rPr>
          <w:lang w:eastAsia="zh-CN"/>
        </w:rPr>
        <w:t>Inter-band concurrent operation</w:t>
      </w:r>
    </w:p>
    <w:p w:rsidR="007F2979" w:rsidRDefault="007F2979" w:rsidP="00167A00">
      <w:pPr>
        <w:rPr>
          <w:lang w:eastAsia="zh-CN"/>
        </w:rPr>
      </w:pPr>
      <w:r>
        <w:rPr>
          <w:lang w:eastAsia="zh-CN"/>
        </w:rPr>
        <w:tab/>
        <w:t xml:space="preserve">For Inter-band combination, current NR design is as following as captured from TS 38.306. It can be seen that this is a per band combination capability. Besides the IE </w:t>
      </w:r>
      <w:r w:rsidRPr="007F2979">
        <w:rPr>
          <w:i/>
          <w:lang w:eastAsia="zh-CN"/>
        </w:rPr>
        <w:t>powerclass</w:t>
      </w:r>
      <w:r>
        <w:rPr>
          <w:lang w:eastAsia="zh-CN"/>
        </w:rPr>
        <w:t xml:space="preserve">, there is still per band capability as </w:t>
      </w:r>
      <w:r w:rsidRPr="007F2979">
        <w:rPr>
          <w:i/>
          <w:lang w:eastAsia="zh-CN"/>
        </w:rPr>
        <w:t>ue-PowerClass</w:t>
      </w:r>
      <w:r>
        <w:rPr>
          <w:lang w:eastAsia="zh-CN"/>
        </w:rPr>
        <w:t xml:space="preserve"> to indicate the power class in each specific band. </w:t>
      </w:r>
    </w:p>
    <w:p w:rsidR="007F2979" w:rsidRDefault="007F2979" w:rsidP="007F2979">
      <w:pPr>
        <w:jc w:val="center"/>
        <w:rPr>
          <w:lang w:eastAsia="zh-CN"/>
        </w:rPr>
      </w:pPr>
      <w:r>
        <w:rPr>
          <w:noProof/>
          <w:lang w:val="en-US" w:eastAsia="zh-CN"/>
        </w:rPr>
        <w:drawing>
          <wp:inline distT="0" distB="0" distL="0" distR="0" wp14:anchorId="552BF816" wp14:editId="75BED245">
            <wp:extent cx="5041900" cy="925818"/>
            <wp:effectExtent l="0" t="0" r="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051044" cy="927497"/>
                    </a:xfrm>
                    <a:prstGeom prst="rect">
                      <a:avLst/>
                    </a:prstGeom>
                  </pic:spPr>
                </pic:pic>
              </a:graphicData>
            </a:graphic>
          </wp:inline>
        </w:drawing>
      </w:r>
    </w:p>
    <w:p w:rsidR="007F2979" w:rsidRDefault="007F2979" w:rsidP="007F2979">
      <w:pPr>
        <w:rPr>
          <w:lang w:eastAsia="zh-CN"/>
        </w:rPr>
      </w:pPr>
      <w:r>
        <w:rPr>
          <w:lang w:eastAsia="zh-CN"/>
        </w:rPr>
        <w:tab/>
      </w:r>
      <w:r w:rsidR="005A03A7">
        <w:rPr>
          <w:lang w:eastAsia="zh-CN"/>
        </w:rPr>
        <w:t>To this extend, current power class capability design for band combination is enough of inter-band concurrent operation, as each band will report its individual supported power class and a combined power class for the band combination will be also reported.</w:t>
      </w:r>
    </w:p>
    <w:p w:rsidR="005A03A7" w:rsidRPr="005A03A7" w:rsidRDefault="005A03A7" w:rsidP="005A03A7">
      <w:pPr>
        <w:rPr>
          <w:b/>
          <w:lang w:eastAsia="zh-CN"/>
        </w:rPr>
      </w:pPr>
      <w:r w:rsidRPr="005A03A7">
        <w:rPr>
          <w:b/>
          <w:lang w:eastAsia="zh-CN"/>
        </w:rPr>
        <w:t xml:space="preserve">Observation </w:t>
      </w:r>
      <w:r>
        <w:rPr>
          <w:b/>
          <w:lang w:eastAsia="zh-CN"/>
        </w:rPr>
        <w:t>3</w:t>
      </w:r>
      <w:r w:rsidRPr="005A03A7">
        <w:rPr>
          <w:b/>
          <w:lang w:eastAsia="zh-CN"/>
        </w:rPr>
        <w:t>: For</w:t>
      </w:r>
      <w:r>
        <w:rPr>
          <w:b/>
          <w:lang w:eastAsia="zh-CN"/>
        </w:rPr>
        <w:t xml:space="preserve"> inter-band concurrent operation case</w:t>
      </w:r>
      <w:r w:rsidRPr="005A03A7">
        <w:rPr>
          <w:b/>
          <w:lang w:eastAsia="zh-CN"/>
        </w:rPr>
        <w:t>, no new capability design for PC2 V2X is needed.</w:t>
      </w:r>
    </w:p>
    <w:p w:rsidR="00167A00" w:rsidRDefault="00167A00" w:rsidP="00167A00">
      <w:pPr>
        <w:rPr>
          <w:lang w:eastAsia="zh-CN"/>
        </w:rPr>
      </w:pPr>
      <w:r>
        <w:rPr>
          <w:lang w:eastAsia="zh-CN"/>
        </w:rPr>
        <w:t xml:space="preserve">4, </w:t>
      </w:r>
      <w:r w:rsidRPr="00605AC6">
        <w:rPr>
          <w:lang w:eastAsia="zh-CN"/>
        </w:rPr>
        <w:t>Intra-band con-current operation</w:t>
      </w:r>
    </w:p>
    <w:p w:rsidR="007F2979" w:rsidRDefault="007F2979" w:rsidP="00167A00">
      <w:pPr>
        <w:rPr>
          <w:lang w:eastAsia="zh-CN"/>
        </w:rPr>
      </w:pPr>
      <w:r>
        <w:rPr>
          <w:lang w:eastAsia="zh-CN"/>
        </w:rPr>
        <w:tab/>
      </w:r>
      <w:r w:rsidR="008578DE">
        <w:rPr>
          <w:lang w:eastAsia="zh-CN"/>
        </w:rPr>
        <w:t xml:space="preserve">For intra-band con-current operation, as the ue-powerclass is per band reporting, so within the same band, only one power class will be reported. However, as per current design of MR-DC band combination report, the power class for each part should be reported separately. Which means for intra-band concurrent operation, the power class for NR and NR sidelink should be reported separately. Considering </w:t>
      </w:r>
      <w:r w:rsidR="00817FDB">
        <w:rPr>
          <w:lang w:eastAsia="zh-CN"/>
        </w:rPr>
        <w:t>there exists separate RF chain architecture for FDM intra-band concurrent operation, the separate power class report is needed. Possible power class for each interface and a “combined power class” for the specific band is listed below in table 1. To this extend, separate power class signalling for each interface is needed.</w:t>
      </w:r>
    </w:p>
    <w:p w:rsidR="00817FDB" w:rsidRDefault="00817FDB" w:rsidP="00817FDB">
      <w:pPr>
        <w:jc w:val="center"/>
        <w:rPr>
          <w:lang w:eastAsia="zh-CN"/>
        </w:rPr>
      </w:pPr>
      <w:r>
        <w:rPr>
          <w:lang w:eastAsia="zh-CN"/>
        </w:rPr>
        <w:t>Table 1 Possible power class for each interface and “combined power class”</w:t>
      </w:r>
    </w:p>
    <w:tbl>
      <w:tblPr>
        <w:tblStyle w:val="aa"/>
        <w:tblW w:w="0" w:type="auto"/>
        <w:jc w:val="center"/>
        <w:tblLook w:val="04A0" w:firstRow="1" w:lastRow="0" w:firstColumn="1" w:lastColumn="0" w:noHBand="0" w:noVBand="1"/>
      </w:tblPr>
      <w:tblGrid>
        <w:gridCol w:w="1701"/>
        <w:gridCol w:w="1852"/>
        <w:gridCol w:w="2112"/>
      </w:tblGrid>
      <w:tr w:rsidR="00817FDB" w:rsidTr="00817FDB">
        <w:trPr>
          <w:jc w:val="center"/>
        </w:trPr>
        <w:tc>
          <w:tcPr>
            <w:tcW w:w="1701" w:type="dxa"/>
          </w:tcPr>
          <w:p w:rsidR="00817FDB" w:rsidRPr="00817FDB" w:rsidRDefault="00817FDB" w:rsidP="00817FDB">
            <w:pPr>
              <w:pStyle w:val="22"/>
              <w:jc w:val="center"/>
              <w:rPr>
                <w:rFonts w:ascii="Times New Roman" w:eastAsia="楷体"/>
                <w:sz w:val="20"/>
              </w:rPr>
            </w:pPr>
            <w:r w:rsidRPr="00817FDB">
              <w:rPr>
                <w:rFonts w:ascii="Times New Roman" w:eastAsia="楷体" w:hint="eastAsia"/>
                <w:sz w:val="20"/>
              </w:rPr>
              <w:t xml:space="preserve">Uu </w:t>
            </w:r>
            <w:r w:rsidRPr="00817FDB">
              <w:rPr>
                <w:rFonts w:ascii="Times New Roman" w:eastAsia="楷体"/>
                <w:sz w:val="20"/>
              </w:rPr>
              <w:t xml:space="preserve">interface power class </w:t>
            </w:r>
          </w:p>
        </w:tc>
        <w:tc>
          <w:tcPr>
            <w:tcW w:w="1852" w:type="dxa"/>
          </w:tcPr>
          <w:p w:rsidR="00817FDB" w:rsidRPr="00817FDB" w:rsidRDefault="00817FDB" w:rsidP="00817FDB">
            <w:pPr>
              <w:pStyle w:val="22"/>
              <w:jc w:val="center"/>
              <w:rPr>
                <w:rFonts w:ascii="Times New Roman" w:eastAsia="楷体"/>
                <w:sz w:val="20"/>
              </w:rPr>
            </w:pPr>
            <w:r w:rsidRPr="00817FDB">
              <w:rPr>
                <w:rFonts w:ascii="Times New Roman" w:eastAsia="楷体" w:hint="eastAsia"/>
                <w:sz w:val="20"/>
              </w:rPr>
              <w:t xml:space="preserve">PC5 </w:t>
            </w:r>
            <w:r w:rsidRPr="00817FDB">
              <w:rPr>
                <w:rFonts w:ascii="Times New Roman" w:eastAsia="楷体"/>
                <w:sz w:val="20"/>
              </w:rPr>
              <w:t>interface power class</w:t>
            </w:r>
          </w:p>
        </w:tc>
        <w:tc>
          <w:tcPr>
            <w:tcW w:w="2112" w:type="dxa"/>
          </w:tcPr>
          <w:p w:rsidR="00817FDB" w:rsidRPr="00817FDB" w:rsidRDefault="00817FDB" w:rsidP="00991CB1">
            <w:pPr>
              <w:pStyle w:val="22"/>
              <w:jc w:val="center"/>
              <w:rPr>
                <w:rFonts w:ascii="Times New Roman" w:eastAsia="楷体"/>
                <w:sz w:val="20"/>
              </w:rPr>
            </w:pPr>
            <w:r w:rsidRPr="00817FDB">
              <w:rPr>
                <w:rFonts w:ascii="Times New Roman" w:eastAsia="楷体"/>
                <w:sz w:val="20"/>
              </w:rPr>
              <w:t xml:space="preserve">Possible </w:t>
            </w:r>
            <w:r w:rsidRPr="00817FDB">
              <w:rPr>
                <w:rFonts w:ascii="Times New Roman" w:eastAsia="楷体" w:hint="eastAsia"/>
                <w:sz w:val="20"/>
              </w:rPr>
              <w:t>P</w:t>
            </w:r>
            <w:r w:rsidRPr="00817FDB">
              <w:rPr>
                <w:rFonts w:ascii="Times New Roman" w:eastAsia="楷体"/>
                <w:sz w:val="20"/>
              </w:rPr>
              <w:t>er band power class</w:t>
            </w:r>
          </w:p>
        </w:tc>
      </w:tr>
      <w:tr w:rsidR="00817FDB" w:rsidTr="00817FDB">
        <w:trPr>
          <w:jc w:val="center"/>
        </w:trPr>
        <w:tc>
          <w:tcPr>
            <w:tcW w:w="1701" w:type="dxa"/>
          </w:tcPr>
          <w:p w:rsidR="00817FDB" w:rsidRPr="00817FDB" w:rsidRDefault="00817FDB" w:rsidP="00991CB1">
            <w:pPr>
              <w:pStyle w:val="22"/>
              <w:jc w:val="center"/>
              <w:rPr>
                <w:rFonts w:ascii="Times New Roman" w:eastAsia="楷体"/>
                <w:sz w:val="20"/>
              </w:rPr>
            </w:pPr>
            <w:r w:rsidRPr="00817FDB">
              <w:rPr>
                <w:rFonts w:ascii="Times New Roman" w:eastAsia="楷体" w:hint="eastAsia"/>
                <w:sz w:val="20"/>
              </w:rPr>
              <w:t>P</w:t>
            </w:r>
            <w:r w:rsidRPr="00817FDB">
              <w:rPr>
                <w:rFonts w:ascii="Times New Roman" w:eastAsia="楷体"/>
                <w:sz w:val="20"/>
              </w:rPr>
              <w:t>C3</w:t>
            </w:r>
          </w:p>
        </w:tc>
        <w:tc>
          <w:tcPr>
            <w:tcW w:w="1852" w:type="dxa"/>
          </w:tcPr>
          <w:p w:rsidR="00817FDB" w:rsidRPr="00817FDB" w:rsidRDefault="00817FDB" w:rsidP="00991CB1">
            <w:pPr>
              <w:pStyle w:val="22"/>
              <w:jc w:val="center"/>
              <w:rPr>
                <w:rFonts w:ascii="Times New Roman" w:eastAsia="楷体"/>
                <w:sz w:val="20"/>
              </w:rPr>
            </w:pPr>
            <w:r w:rsidRPr="00817FDB">
              <w:rPr>
                <w:rFonts w:ascii="Times New Roman" w:eastAsia="楷体" w:hint="eastAsia"/>
                <w:sz w:val="20"/>
              </w:rPr>
              <w:t>P</w:t>
            </w:r>
            <w:r w:rsidRPr="00817FDB">
              <w:rPr>
                <w:rFonts w:ascii="Times New Roman" w:eastAsia="楷体"/>
                <w:sz w:val="20"/>
              </w:rPr>
              <w:t>C3</w:t>
            </w:r>
          </w:p>
        </w:tc>
        <w:tc>
          <w:tcPr>
            <w:tcW w:w="2112" w:type="dxa"/>
          </w:tcPr>
          <w:p w:rsidR="00817FDB" w:rsidRPr="00817FDB" w:rsidRDefault="00817FDB" w:rsidP="00991CB1">
            <w:pPr>
              <w:pStyle w:val="22"/>
              <w:jc w:val="center"/>
              <w:rPr>
                <w:rFonts w:ascii="Times New Roman" w:eastAsia="楷体"/>
                <w:sz w:val="20"/>
              </w:rPr>
            </w:pPr>
            <w:r w:rsidRPr="00817FDB">
              <w:rPr>
                <w:rFonts w:ascii="Times New Roman" w:eastAsia="楷体" w:hint="eastAsia"/>
                <w:sz w:val="20"/>
              </w:rPr>
              <w:t>P</w:t>
            </w:r>
            <w:r w:rsidRPr="00817FDB">
              <w:rPr>
                <w:rFonts w:ascii="Times New Roman" w:eastAsia="楷体"/>
                <w:sz w:val="20"/>
              </w:rPr>
              <w:t>C2/PC3</w:t>
            </w:r>
          </w:p>
        </w:tc>
      </w:tr>
      <w:tr w:rsidR="00817FDB" w:rsidTr="00817FDB">
        <w:trPr>
          <w:jc w:val="center"/>
        </w:trPr>
        <w:tc>
          <w:tcPr>
            <w:tcW w:w="1701" w:type="dxa"/>
          </w:tcPr>
          <w:p w:rsidR="00817FDB" w:rsidRPr="00817FDB" w:rsidRDefault="00817FDB" w:rsidP="00991CB1">
            <w:pPr>
              <w:pStyle w:val="22"/>
              <w:jc w:val="center"/>
              <w:rPr>
                <w:rFonts w:ascii="Times New Roman" w:eastAsia="楷体"/>
                <w:sz w:val="20"/>
              </w:rPr>
            </w:pPr>
            <w:r w:rsidRPr="00817FDB">
              <w:rPr>
                <w:rFonts w:ascii="Times New Roman" w:eastAsia="楷体" w:hint="eastAsia"/>
                <w:sz w:val="20"/>
              </w:rPr>
              <w:t>P</w:t>
            </w:r>
            <w:r w:rsidRPr="00817FDB">
              <w:rPr>
                <w:rFonts w:ascii="Times New Roman" w:eastAsia="楷体"/>
                <w:sz w:val="20"/>
              </w:rPr>
              <w:t>C3</w:t>
            </w:r>
          </w:p>
        </w:tc>
        <w:tc>
          <w:tcPr>
            <w:tcW w:w="1852" w:type="dxa"/>
          </w:tcPr>
          <w:p w:rsidR="00817FDB" w:rsidRPr="00817FDB" w:rsidRDefault="00817FDB" w:rsidP="00991CB1">
            <w:pPr>
              <w:pStyle w:val="22"/>
              <w:jc w:val="center"/>
              <w:rPr>
                <w:rFonts w:ascii="Times New Roman" w:eastAsia="楷体"/>
                <w:sz w:val="20"/>
              </w:rPr>
            </w:pPr>
            <w:r w:rsidRPr="00817FDB">
              <w:rPr>
                <w:rFonts w:ascii="Times New Roman" w:eastAsia="楷体" w:hint="eastAsia"/>
                <w:sz w:val="20"/>
              </w:rPr>
              <w:t>P</w:t>
            </w:r>
            <w:r w:rsidRPr="00817FDB">
              <w:rPr>
                <w:rFonts w:ascii="Times New Roman" w:eastAsia="楷体"/>
                <w:sz w:val="20"/>
              </w:rPr>
              <w:t>C2</w:t>
            </w:r>
          </w:p>
        </w:tc>
        <w:tc>
          <w:tcPr>
            <w:tcW w:w="2112" w:type="dxa"/>
          </w:tcPr>
          <w:p w:rsidR="00817FDB" w:rsidRPr="00817FDB" w:rsidRDefault="00817FDB" w:rsidP="00817FDB">
            <w:pPr>
              <w:pStyle w:val="22"/>
              <w:jc w:val="center"/>
              <w:rPr>
                <w:rFonts w:ascii="Times New Roman" w:eastAsia="楷体"/>
                <w:sz w:val="20"/>
              </w:rPr>
            </w:pPr>
            <w:r w:rsidRPr="00817FDB">
              <w:rPr>
                <w:rFonts w:ascii="Times New Roman" w:eastAsia="楷体" w:hint="eastAsia"/>
                <w:sz w:val="20"/>
              </w:rPr>
              <w:t>P</w:t>
            </w:r>
            <w:r w:rsidRPr="00817FDB">
              <w:rPr>
                <w:rFonts w:ascii="Times New Roman" w:eastAsia="楷体"/>
                <w:sz w:val="20"/>
              </w:rPr>
              <w:t>C2/PC3</w:t>
            </w:r>
          </w:p>
        </w:tc>
      </w:tr>
      <w:tr w:rsidR="00817FDB" w:rsidTr="00817FDB">
        <w:trPr>
          <w:jc w:val="center"/>
        </w:trPr>
        <w:tc>
          <w:tcPr>
            <w:tcW w:w="1701" w:type="dxa"/>
          </w:tcPr>
          <w:p w:rsidR="00817FDB" w:rsidRPr="00817FDB" w:rsidRDefault="00817FDB" w:rsidP="00991CB1">
            <w:pPr>
              <w:pStyle w:val="22"/>
              <w:jc w:val="center"/>
              <w:rPr>
                <w:rFonts w:ascii="Times New Roman" w:eastAsia="楷体"/>
                <w:sz w:val="20"/>
              </w:rPr>
            </w:pPr>
            <w:r w:rsidRPr="00817FDB">
              <w:rPr>
                <w:rFonts w:ascii="Times New Roman" w:eastAsia="楷体" w:hint="eastAsia"/>
                <w:sz w:val="20"/>
              </w:rPr>
              <w:t>P</w:t>
            </w:r>
            <w:r w:rsidRPr="00817FDB">
              <w:rPr>
                <w:rFonts w:ascii="Times New Roman" w:eastAsia="楷体"/>
                <w:sz w:val="20"/>
              </w:rPr>
              <w:t>C2</w:t>
            </w:r>
          </w:p>
        </w:tc>
        <w:tc>
          <w:tcPr>
            <w:tcW w:w="1852" w:type="dxa"/>
          </w:tcPr>
          <w:p w:rsidR="00817FDB" w:rsidRPr="00817FDB" w:rsidRDefault="00817FDB" w:rsidP="00991CB1">
            <w:pPr>
              <w:pStyle w:val="22"/>
              <w:jc w:val="center"/>
              <w:rPr>
                <w:rFonts w:ascii="Times New Roman" w:eastAsia="楷体"/>
                <w:sz w:val="20"/>
              </w:rPr>
            </w:pPr>
            <w:r w:rsidRPr="00817FDB">
              <w:rPr>
                <w:rFonts w:ascii="Times New Roman" w:eastAsia="楷体" w:hint="eastAsia"/>
                <w:sz w:val="20"/>
              </w:rPr>
              <w:t>P</w:t>
            </w:r>
            <w:r w:rsidRPr="00817FDB">
              <w:rPr>
                <w:rFonts w:ascii="Times New Roman" w:eastAsia="楷体"/>
                <w:sz w:val="20"/>
              </w:rPr>
              <w:t>C3</w:t>
            </w:r>
          </w:p>
        </w:tc>
        <w:tc>
          <w:tcPr>
            <w:tcW w:w="2112" w:type="dxa"/>
          </w:tcPr>
          <w:p w:rsidR="00817FDB" w:rsidRPr="00817FDB" w:rsidRDefault="00817FDB" w:rsidP="00991CB1">
            <w:pPr>
              <w:pStyle w:val="22"/>
              <w:jc w:val="center"/>
              <w:rPr>
                <w:rFonts w:ascii="Times New Roman" w:eastAsia="楷体"/>
                <w:sz w:val="20"/>
              </w:rPr>
            </w:pPr>
            <w:r w:rsidRPr="00817FDB">
              <w:rPr>
                <w:rFonts w:ascii="Times New Roman" w:eastAsia="楷体" w:hint="eastAsia"/>
                <w:sz w:val="20"/>
              </w:rPr>
              <w:t>P</w:t>
            </w:r>
            <w:r w:rsidRPr="00817FDB">
              <w:rPr>
                <w:rFonts w:ascii="Times New Roman" w:eastAsia="楷体"/>
                <w:sz w:val="20"/>
              </w:rPr>
              <w:t>C2/PC3</w:t>
            </w:r>
          </w:p>
        </w:tc>
      </w:tr>
      <w:tr w:rsidR="00817FDB" w:rsidTr="00817FDB">
        <w:trPr>
          <w:jc w:val="center"/>
        </w:trPr>
        <w:tc>
          <w:tcPr>
            <w:tcW w:w="1701" w:type="dxa"/>
          </w:tcPr>
          <w:p w:rsidR="00817FDB" w:rsidRPr="00817FDB" w:rsidRDefault="00817FDB" w:rsidP="00991CB1">
            <w:pPr>
              <w:pStyle w:val="22"/>
              <w:jc w:val="center"/>
              <w:rPr>
                <w:rFonts w:ascii="Times New Roman" w:eastAsia="楷体"/>
                <w:sz w:val="20"/>
              </w:rPr>
            </w:pPr>
            <w:r w:rsidRPr="00817FDB">
              <w:rPr>
                <w:rFonts w:ascii="Times New Roman" w:eastAsia="楷体" w:hint="eastAsia"/>
                <w:sz w:val="20"/>
              </w:rPr>
              <w:t>P</w:t>
            </w:r>
            <w:r w:rsidRPr="00817FDB">
              <w:rPr>
                <w:rFonts w:ascii="Times New Roman" w:eastAsia="楷体"/>
                <w:sz w:val="20"/>
              </w:rPr>
              <w:t>C2</w:t>
            </w:r>
          </w:p>
        </w:tc>
        <w:tc>
          <w:tcPr>
            <w:tcW w:w="1852" w:type="dxa"/>
          </w:tcPr>
          <w:p w:rsidR="00817FDB" w:rsidRPr="00817FDB" w:rsidRDefault="00817FDB" w:rsidP="00991CB1">
            <w:pPr>
              <w:pStyle w:val="22"/>
              <w:jc w:val="center"/>
              <w:rPr>
                <w:rFonts w:ascii="Times New Roman" w:eastAsia="楷体"/>
                <w:sz w:val="20"/>
              </w:rPr>
            </w:pPr>
            <w:r w:rsidRPr="00817FDB">
              <w:rPr>
                <w:rFonts w:ascii="Times New Roman" w:eastAsia="楷体" w:hint="eastAsia"/>
                <w:sz w:val="20"/>
              </w:rPr>
              <w:t>P</w:t>
            </w:r>
            <w:r w:rsidRPr="00817FDB">
              <w:rPr>
                <w:rFonts w:ascii="Times New Roman" w:eastAsia="楷体"/>
                <w:sz w:val="20"/>
              </w:rPr>
              <w:t>C2</w:t>
            </w:r>
          </w:p>
        </w:tc>
        <w:tc>
          <w:tcPr>
            <w:tcW w:w="2112" w:type="dxa"/>
          </w:tcPr>
          <w:p w:rsidR="00817FDB" w:rsidRPr="00817FDB" w:rsidRDefault="00817FDB" w:rsidP="00991CB1">
            <w:pPr>
              <w:pStyle w:val="22"/>
              <w:jc w:val="center"/>
              <w:rPr>
                <w:rFonts w:ascii="Times New Roman" w:eastAsia="楷体"/>
                <w:sz w:val="20"/>
              </w:rPr>
            </w:pPr>
            <w:r w:rsidRPr="00817FDB">
              <w:rPr>
                <w:rFonts w:ascii="Times New Roman" w:eastAsia="楷体" w:hint="eastAsia"/>
                <w:sz w:val="20"/>
              </w:rPr>
              <w:t>P</w:t>
            </w:r>
            <w:r w:rsidRPr="00817FDB">
              <w:rPr>
                <w:rFonts w:ascii="Times New Roman" w:eastAsia="楷体"/>
                <w:sz w:val="20"/>
              </w:rPr>
              <w:t>C2/PC1.5</w:t>
            </w:r>
          </w:p>
        </w:tc>
      </w:tr>
    </w:tbl>
    <w:p w:rsidR="008578DE" w:rsidRPr="00817FDB" w:rsidRDefault="00817FDB" w:rsidP="00167A00">
      <w:pPr>
        <w:rPr>
          <w:b/>
          <w:lang w:eastAsia="zh-CN"/>
        </w:rPr>
      </w:pPr>
      <w:r w:rsidRPr="00817FDB">
        <w:rPr>
          <w:rFonts w:hint="eastAsia"/>
          <w:b/>
          <w:lang w:eastAsia="zh-CN"/>
        </w:rPr>
        <w:t>O</w:t>
      </w:r>
      <w:r w:rsidRPr="00817FDB">
        <w:rPr>
          <w:b/>
          <w:lang w:eastAsia="zh-CN"/>
        </w:rPr>
        <w:t xml:space="preserve">bservation 4: </w:t>
      </w:r>
      <w:r>
        <w:rPr>
          <w:b/>
          <w:lang w:eastAsia="zh-CN"/>
        </w:rPr>
        <w:t>For intra-band concurrent operation, power class signalling for each interface is needed.</w:t>
      </w:r>
    </w:p>
    <w:p w:rsidR="00167A00" w:rsidRDefault="00167A00" w:rsidP="00167A00">
      <w:pPr>
        <w:ind w:firstLine="420"/>
        <w:rPr>
          <w:lang w:val="en-US" w:eastAsia="zh-CN"/>
        </w:rPr>
      </w:pPr>
      <w:r>
        <w:rPr>
          <w:lang w:val="en-US" w:eastAsia="zh-CN"/>
        </w:rPr>
        <w:t xml:space="preserve">The PC2 scenarios and corresponding potential new PC2 capability design is concluded as below table </w:t>
      </w:r>
      <w:r w:rsidR="00817FDB">
        <w:rPr>
          <w:lang w:val="en-US" w:eastAsia="zh-CN"/>
        </w:rPr>
        <w:t>2</w:t>
      </w:r>
      <w:r>
        <w:rPr>
          <w:lang w:val="en-US" w:eastAsia="zh-CN"/>
        </w:rPr>
        <w:t>.</w:t>
      </w:r>
    </w:p>
    <w:p w:rsidR="00605AC6" w:rsidRDefault="00605AC6" w:rsidP="008E50A8">
      <w:pPr>
        <w:jc w:val="center"/>
        <w:rPr>
          <w:lang w:val="en-US" w:eastAsia="zh-CN"/>
        </w:rPr>
      </w:pPr>
      <w:r>
        <w:rPr>
          <w:rFonts w:hint="eastAsia"/>
          <w:lang w:val="en-US" w:eastAsia="zh-CN"/>
        </w:rPr>
        <w:t>T</w:t>
      </w:r>
      <w:r>
        <w:rPr>
          <w:lang w:val="en-US" w:eastAsia="zh-CN"/>
        </w:rPr>
        <w:t xml:space="preserve">able </w:t>
      </w:r>
      <w:r w:rsidR="00817FDB">
        <w:rPr>
          <w:lang w:val="en-US" w:eastAsia="zh-CN"/>
        </w:rPr>
        <w:t>2</w:t>
      </w:r>
      <w:r>
        <w:rPr>
          <w:lang w:val="en-US" w:eastAsia="zh-CN"/>
        </w:rPr>
        <w:t xml:space="preserve"> PC2 scenarios and capability signaling design</w:t>
      </w:r>
    </w:p>
    <w:tbl>
      <w:tblPr>
        <w:tblStyle w:val="aa"/>
        <w:tblW w:w="0" w:type="auto"/>
        <w:tblLook w:val="04A0" w:firstRow="1" w:lastRow="0" w:firstColumn="1" w:lastColumn="0" w:noHBand="0" w:noVBand="1"/>
      </w:tblPr>
      <w:tblGrid>
        <w:gridCol w:w="1413"/>
        <w:gridCol w:w="2977"/>
        <w:gridCol w:w="6067"/>
      </w:tblGrid>
      <w:tr w:rsidR="00605AC6" w:rsidTr="00605AC6">
        <w:tc>
          <w:tcPr>
            <w:tcW w:w="1413" w:type="dxa"/>
          </w:tcPr>
          <w:p w:rsidR="00605AC6" w:rsidRDefault="00605AC6" w:rsidP="00480F2E">
            <w:pPr>
              <w:rPr>
                <w:lang w:val="en-US" w:eastAsia="zh-CN"/>
              </w:rPr>
            </w:pPr>
            <w:r>
              <w:rPr>
                <w:lang w:val="en-US" w:eastAsia="zh-CN"/>
              </w:rPr>
              <w:t>Scenario#</w:t>
            </w:r>
          </w:p>
        </w:tc>
        <w:tc>
          <w:tcPr>
            <w:tcW w:w="2977" w:type="dxa"/>
          </w:tcPr>
          <w:p w:rsidR="00605AC6" w:rsidRDefault="00605AC6" w:rsidP="00480F2E">
            <w:pPr>
              <w:rPr>
                <w:lang w:val="en-US" w:eastAsia="zh-CN"/>
              </w:rPr>
            </w:pPr>
            <w:r>
              <w:rPr>
                <w:rFonts w:hint="eastAsia"/>
                <w:lang w:val="en-US" w:eastAsia="zh-CN"/>
              </w:rPr>
              <w:t>S</w:t>
            </w:r>
            <w:r>
              <w:rPr>
                <w:lang w:val="en-US" w:eastAsia="zh-CN"/>
              </w:rPr>
              <w:t>cenario description</w:t>
            </w:r>
          </w:p>
        </w:tc>
        <w:tc>
          <w:tcPr>
            <w:tcW w:w="6067" w:type="dxa"/>
          </w:tcPr>
          <w:p w:rsidR="00605AC6" w:rsidRDefault="00605AC6" w:rsidP="00480F2E">
            <w:pPr>
              <w:rPr>
                <w:lang w:val="en-US" w:eastAsia="zh-CN"/>
              </w:rPr>
            </w:pPr>
            <w:r>
              <w:rPr>
                <w:lang w:val="en-US" w:eastAsia="zh-CN"/>
              </w:rPr>
              <w:t>PC2 capability design</w:t>
            </w:r>
          </w:p>
        </w:tc>
      </w:tr>
      <w:tr w:rsidR="00605AC6" w:rsidTr="00605AC6">
        <w:tc>
          <w:tcPr>
            <w:tcW w:w="1413" w:type="dxa"/>
          </w:tcPr>
          <w:p w:rsidR="00605AC6" w:rsidRDefault="00605AC6" w:rsidP="00480F2E">
            <w:pPr>
              <w:rPr>
                <w:lang w:val="en-US" w:eastAsia="zh-CN"/>
              </w:rPr>
            </w:pPr>
            <w:r>
              <w:rPr>
                <w:rFonts w:hint="eastAsia"/>
                <w:lang w:val="en-US" w:eastAsia="zh-CN"/>
              </w:rPr>
              <w:lastRenderedPageBreak/>
              <w:t>1</w:t>
            </w:r>
          </w:p>
        </w:tc>
        <w:tc>
          <w:tcPr>
            <w:tcW w:w="2977" w:type="dxa"/>
          </w:tcPr>
          <w:p w:rsidR="00605AC6" w:rsidRDefault="00605AC6" w:rsidP="00480F2E">
            <w:pPr>
              <w:rPr>
                <w:lang w:val="en-US" w:eastAsia="zh-CN"/>
              </w:rPr>
            </w:pPr>
            <w:r w:rsidRPr="00605AC6">
              <w:rPr>
                <w:lang w:eastAsia="zh-CN"/>
              </w:rPr>
              <w:t>Single band + Single antenna: Single 26dBm architecture</w:t>
            </w:r>
          </w:p>
        </w:tc>
        <w:tc>
          <w:tcPr>
            <w:tcW w:w="6067" w:type="dxa"/>
          </w:tcPr>
          <w:p w:rsidR="00605AC6" w:rsidRDefault="00605AC6" w:rsidP="005A03A7">
            <w:pPr>
              <w:rPr>
                <w:lang w:val="en-US" w:eastAsia="zh-CN"/>
              </w:rPr>
            </w:pPr>
            <w:r>
              <w:rPr>
                <w:lang w:val="en-US" w:eastAsia="zh-CN"/>
              </w:rPr>
              <w:t xml:space="preserve">No new PC2 capability is needed for V2X. </w:t>
            </w:r>
          </w:p>
        </w:tc>
      </w:tr>
      <w:tr w:rsidR="00605AC6" w:rsidTr="00605AC6">
        <w:tc>
          <w:tcPr>
            <w:tcW w:w="1413" w:type="dxa"/>
          </w:tcPr>
          <w:p w:rsidR="00605AC6" w:rsidRDefault="00605AC6" w:rsidP="00480F2E">
            <w:pPr>
              <w:rPr>
                <w:lang w:val="en-US" w:eastAsia="zh-CN"/>
              </w:rPr>
            </w:pPr>
            <w:r>
              <w:rPr>
                <w:rFonts w:hint="eastAsia"/>
                <w:lang w:val="en-US" w:eastAsia="zh-CN"/>
              </w:rPr>
              <w:t>2</w:t>
            </w:r>
          </w:p>
        </w:tc>
        <w:tc>
          <w:tcPr>
            <w:tcW w:w="2977" w:type="dxa"/>
          </w:tcPr>
          <w:p w:rsidR="00605AC6" w:rsidRDefault="00605AC6" w:rsidP="00480F2E">
            <w:pPr>
              <w:rPr>
                <w:lang w:val="en-US" w:eastAsia="zh-CN"/>
              </w:rPr>
            </w:pPr>
            <w:r w:rsidRPr="00605AC6">
              <w:rPr>
                <w:lang w:eastAsia="zh-CN"/>
              </w:rPr>
              <w:t>Single band + Multi antenna: TXD, SL-MIMO</w:t>
            </w:r>
          </w:p>
        </w:tc>
        <w:tc>
          <w:tcPr>
            <w:tcW w:w="6067" w:type="dxa"/>
          </w:tcPr>
          <w:p w:rsidR="00605AC6" w:rsidRDefault="00F06550" w:rsidP="00480F2E">
            <w:pPr>
              <w:rPr>
                <w:lang w:val="en-US" w:eastAsia="zh-CN"/>
              </w:rPr>
            </w:pPr>
            <w:r>
              <w:rPr>
                <w:lang w:val="en-US" w:eastAsia="zh-CN"/>
              </w:rPr>
              <w:t>No new PC2 capability is needed for V2X.</w:t>
            </w:r>
          </w:p>
        </w:tc>
      </w:tr>
      <w:tr w:rsidR="00605AC6" w:rsidTr="00605AC6">
        <w:tc>
          <w:tcPr>
            <w:tcW w:w="1413" w:type="dxa"/>
          </w:tcPr>
          <w:p w:rsidR="00605AC6" w:rsidRDefault="00605AC6" w:rsidP="00480F2E">
            <w:pPr>
              <w:rPr>
                <w:lang w:val="en-US" w:eastAsia="zh-CN"/>
              </w:rPr>
            </w:pPr>
            <w:r>
              <w:rPr>
                <w:rFonts w:hint="eastAsia"/>
                <w:lang w:val="en-US" w:eastAsia="zh-CN"/>
              </w:rPr>
              <w:t>3</w:t>
            </w:r>
          </w:p>
        </w:tc>
        <w:tc>
          <w:tcPr>
            <w:tcW w:w="2977" w:type="dxa"/>
          </w:tcPr>
          <w:p w:rsidR="00605AC6" w:rsidRDefault="00605AC6" w:rsidP="00480F2E">
            <w:pPr>
              <w:rPr>
                <w:lang w:val="en-US" w:eastAsia="zh-CN"/>
              </w:rPr>
            </w:pPr>
            <w:r w:rsidRPr="00605AC6">
              <w:rPr>
                <w:lang w:eastAsia="zh-CN"/>
              </w:rPr>
              <w:t>Inter-band concurrent operation</w:t>
            </w:r>
          </w:p>
        </w:tc>
        <w:tc>
          <w:tcPr>
            <w:tcW w:w="6067" w:type="dxa"/>
          </w:tcPr>
          <w:p w:rsidR="00605AC6" w:rsidRDefault="005A03A7" w:rsidP="00480F2E">
            <w:pPr>
              <w:rPr>
                <w:lang w:val="en-US" w:eastAsia="zh-CN"/>
              </w:rPr>
            </w:pPr>
            <w:r>
              <w:rPr>
                <w:lang w:val="en-US" w:eastAsia="zh-CN"/>
              </w:rPr>
              <w:t xml:space="preserve">No new PC2 capability is needed for V2X. </w:t>
            </w:r>
            <w:r w:rsidR="00167A00">
              <w:rPr>
                <w:lang w:val="en-US" w:eastAsia="zh-CN"/>
              </w:rPr>
              <w:t xml:space="preserve"> </w:t>
            </w:r>
          </w:p>
        </w:tc>
      </w:tr>
      <w:tr w:rsidR="00605AC6" w:rsidTr="00605AC6">
        <w:tc>
          <w:tcPr>
            <w:tcW w:w="1413" w:type="dxa"/>
          </w:tcPr>
          <w:p w:rsidR="00605AC6" w:rsidRDefault="00605AC6" w:rsidP="00480F2E">
            <w:pPr>
              <w:rPr>
                <w:lang w:val="en-US" w:eastAsia="zh-CN"/>
              </w:rPr>
            </w:pPr>
            <w:r>
              <w:rPr>
                <w:rFonts w:hint="eastAsia"/>
                <w:lang w:val="en-US" w:eastAsia="zh-CN"/>
              </w:rPr>
              <w:t>4</w:t>
            </w:r>
          </w:p>
        </w:tc>
        <w:tc>
          <w:tcPr>
            <w:tcW w:w="2977" w:type="dxa"/>
          </w:tcPr>
          <w:p w:rsidR="00605AC6" w:rsidRDefault="00605AC6" w:rsidP="00480F2E">
            <w:pPr>
              <w:rPr>
                <w:lang w:val="en-US" w:eastAsia="zh-CN"/>
              </w:rPr>
            </w:pPr>
            <w:r w:rsidRPr="00605AC6">
              <w:rPr>
                <w:lang w:eastAsia="zh-CN"/>
              </w:rPr>
              <w:t>Intra-band con-current operation</w:t>
            </w:r>
          </w:p>
        </w:tc>
        <w:tc>
          <w:tcPr>
            <w:tcW w:w="6067" w:type="dxa"/>
          </w:tcPr>
          <w:p w:rsidR="00605AC6" w:rsidRDefault="00817FDB" w:rsidP="00480F2E">
            <w:pPr>
              <w:rPr>
                <w:lang w:val="en-US" w:eastAsia="zh-CN"/>
              </w:rPr>
            </w:pPr>
            <w:r>
              <w:rPr>
                <w:lang w:val="en-US" w:eastAsia="zh-CN"/>
              </w:rPr>
              <w:t>Power class signaling for each interface is needed.</w:t>
            </w:r>
          </w:p>
        </w:tc>
      </w:tr>
    </w:tbl>
    <w:p w:rsidR="00F06550" w:rsidRDefault="00817FDB" w:rsidP="00480F2E">
      <w:pPr>
        <w:rPr>
          <w:b/>
          <w:lang w:eastAsia="zh-CN"/>
        </w:rPr>
      </w:pPr>
      <w:r w:rsidRPr="00817FDB">
        <w:rPr>
          <w:rFonts w:hint="eastAsia"/>
          <w:b/>
          <w:lang w:eastAsia="zh-CN"/>
        </w:rPr>
        <w:t>P</w:t>
      </w:r>
      <w:r w:rsidRPr="00817FDB">
        <w:rPr>
          <w:b/>
          <w:lang w:eastAsia="zh-CN"/>
        </w:rPr>
        <w:t xml:space="preserve">roposal 1: </w:t>
      </w:r>
      <w:r w:rsidR="00F06550">
        <w:rPr>
          <w:b/>
          <w:lang w:eastAsia="zh-CN"/>
        </w:rPr>
        <w:t>It is proposed to define power class signalling for intra-band concurrent operation.</w:t>
      </w:r>
    </w:p>
    <w:p w:rsidR="007E196B" w:rsidRDefault="00F06550" w:rsidP="00480F2E">
      <w:pPr>
        <w:rPr>
          <w:b/>
          <w:lang w:eastAsia="zh-CN"/>
        </w:rPr>
      </w:pPr>
      <w:r>
        <w:rPr>
          <w:b/>
          <w:lang w:eastAsia="zh-CN"/>
        </w:rPr>
        <w:t>Proposal 2: For other scenario of PC2 V2X, no new PC2 capability signalling is needed.</w:t>
      </w:r>
    </w:p>
    <w:p w:rsidR="00F06550" w:rsidRPr="00817FDB" w:rsidRDefault="00F06550" w:rsidP="00480F2E">
      <w:pPr>
        <w:rPr>
          <w:b/>
          <w:lang w:eastAsia="zh-CN"/>
        </w:rPr>
      </w:pPr>
      <w:r>
        <w:rPr>
          <w:b/>
          <w:lang w:eastAsia="zh-CN"/>
        </w:rPr>
        <w:t>Proposal 3: Send an LS to RAN2 to inform the capability design request.</w:t>
      </w:r>
    </w:p>
    <w:bookmarkEnd w:id="4"/>
    <w:bookmarkEnd w:id="5"/>
    <w:p w:rsidR="00DB2AC9" w:rsidRPr="000A4C5A" w:rsidRDefault="00DB2AC9" w:rsidP="00DB2AC9">
      <w:pPr>
        <w:pStyle w:val="1"/>
        <w:rPr>
          <w:lang w:eastAsia="zh-CN"/>
        </w:rPr>
      </w:pPr>
      <w:r w:rsidRPr="000A4C5A">
        <w:rPr>
          <w:rFonts w:hint="eastAsia"/>
          <w:lang w:eastAsia="zh-CN"/>
        </w:rPr>
        <w:t>Conclusion</w:t>
      </w:r>
      <w:r>
        <w:rPr>
          <w:lang w:eastAsia="zh-CN"/>
        </w:rPr>
        <w:t>s</w:t>
      </w:r>
    </w:p>
    <w:p w:rsidR="00DB2AC9" w:rsidRDefault="00DB2AC9" w:rsidP="00DB2AC9">
      <w:pPr>
        <w:rPr>
          <w:lang w:val="en-US" w:eastAsia="zh-CN"/>
        </w:rPr>
      </w:pPr>
      <w:r>
        <w:rPr>
          <w:rFonts w:hint="eastAsia"/>
          <w:lang w:val="en-US" w:eastAsia="zh-CN"/>
        </w:rPr>
        <w:t xml:space="preserve">In this contribution, </w:t>
      </w:r>
      <w:r>
        <w:rPr>
          <w:lang w:val="en-US" w:eastAsia="zh-CN"/>
        </w:rPr>
        <w:t xml:space="preserve">we give discussion on </w:t>
      </w:r>
      <w:r w:rsidR="00D607D4">
        <w:rPr>
          <w:lang w:val="en-US" w:eastAsia="zh-CN"/>
        </w:rPr>
        <w:t>remaining issue on V2X HPUE</w:t>
      </w:r>
      <w:r w:rsidR="00D42672">
        <w:rPr>
          <w:lang w:val="en-US" w:eastAsia="zh-CN"/>
        </w:rPr>
        <w:t xml:space="preserve"> signaling</w:t>
      </w:r>
      <w:r w:rsidR="00323263">
        <w:rPr>
          <w:lang w:val="en-US" w:eastAsia="zh-CN"/>
        </w:rPr>
        <w:t xml:space="preserve"> and the observations are shown as below</w:t>
      </w:r>
      <w:r w:rsidR="00323263">
        <w:rPr>
          <w:rFonts w:hint="eastAsia"/>
          <w:lang w:val="en-US" w:eastAsia="zh-CN"/>
        </w:rPr>
        <w:t>：</w:t>
      </w:r>
    </w:p>
    <w:p w:rsidR="00817FDB" w:rsidRPr="005A03A7" w:rsidRDefault="00817FDB" w:rsidP="00817FDB">
      <w:pPr>
        <w:rPr>
          <w:b/>
          <w:lang w:eastAsia="zh-CN"/>
        </w:rPr>
      </w:pPr>
      <w:r w:rsidRPr="005A03A7">
        <w:rPr>
          <w:b/>
          <w:lang w:eastAsia="zh-CN"/>
        </w:rPr>
        <w:t>Observation 1: For single band and single antenna case, no new capability design for PC2 V2X is needed.</w:t>
      </w:r>
    </w:p>
    <w:p w:rsidR="0001330C" w:rsidRPr="005A03A7" w:rsidRDefault="0001330C" w:rsidP="0001330C">
      <w:pPr>
        <w:rPr>
          <w:b/>
          <w:lang w:eastAsia="zh-CN"/>
        </w:rPr>
      </w:pPr>
      <w:r w:rsidRPr="005A03A7">
        <w:rPr>
          <w:b/>
          <w:lang w:eastAsia="zh-CN"/>
        </w:rPr>
        <w:t>Observation 2: For single band and multi antenna, no new capability design for PC2 V2X</w:t>
      </w:r>
      <w:r>
        <w:rPr>
          <w:b/>
          <w:lang w:eastAsia="zh-CN"/>
        </w:rPr>
        <w:t xml:space="preserve"> TXD</w:t>
      </w:r>
      <w:r w:rsidRPr="005A03A7">
        <w:rPr>
          <w:b/>
          <w:lang w:eastAsia="zh-CN"/>
        </w:rPr>
        <w:t xml:space="preserve"> is needed.</w:t>
      </w:r>
    </w:p>
    <w:p w:rsidR="00817FDB" w:rsidRPr="005A03A7" w:rsidRDefault="00817FDB" w:rsidP="00817FDB">
      <w:pPr>
        <w:rPr>
          <w:b/>
          <w:lang w:eastAsia="zh-CN"/>
        </w:rPr>
      </w:pPr>
      <w:r w:rsidRPr="005A03A7">
        <w:rPr>
          <w:b/>
          <w:lang w:eastAsia="zh-CN"/>
        </w:rPr>
        <w:t xml:space="preserve">Observation </w:t>
      </w:r>
      <w:r>
        <w:rPr>
          <w:b/>
          <w:lang w:eastAsia="zh-CN"/>
        </w:rPr>
        <w:t>3</w:t>
      </w:r>
      <w:r w:rsidRPr="005A03A7">
        <w:rPr>
          <w:b/>
          <w:lang w:eastAsia="zh-CN"/>
        </w:rPr>
        <w:t>: For</w:t>
      </w:r>
      <w:r>
        <w:rPr>
          <w:b/>
          <w:lang w:eastAsia="zh-CN"/>
        </w:rPr>
        <w:t xml:space="preserve"> inter-band concurrent operation case</w:t>
      </w:r>
      <w:r w:rsidRPr="005A03A7">
        <w:rPr>
          <w:b/>
          <w:lang w:eastAsia="zh-CN"/>
        </w:rPr>
        <w:t>, no new capability design for PC2 V2X is needed.</w:t>
      </w:r>
    </w:p>
    <w:p w:rsidR="00817FDB" w:rsidRPr="00817FDB" w:rsidRDefault="00817FDB" w:rsidP="00817FDB">
      <w:pPr>
        <w:rPr>
          <w:b/>
          <w:lang w:eastAsia="zh-CN"/>
        </w:rPr>
      </w:pPr>
      <w:r w:rsidRPr="00817FDB">
        <w:rPr>
          <w:rFonts w:hint="eastAsia"/>
          <w:b/>
          <w:lang w:eastAsia="zh-CN"/>
        </w:rPr>
        <w:t>O</w:t>
      </w:r>
      <w:r w:rsidRPr="00817FDB">
        <w:rPr>
          <w:b/>
          <w:lang w:eastAsia="zh-CN"/>
        </w:rPr>
        <w:t xml:space="preserve">bservation 4: </w:t>
      </w:r>
      <w:r>
        <w:rPr>
          <w:b/>
          <w:lang w:eastAsia="zh-CN"/>
        </w:rPr>
        <w:t>For intra-band concurrent operation, power class signalling for each interface is needed.</w:t>
      </w:r>
    </w:p>
    <w:p w:rsidR="00F06550" w:rsidRDefault="00F06550" w:rsidP="00F06550">
      <w:pPr>
        <w:rPr>
          <w:b/>
          <w:lang w:eastAsia="zh-CN"/>
        </w:rPr>
      </w:pPr>
      <w:r w:rsidRPr="00817FDB">
        <w:rPr>
          <w:rFonts w:hint="eastAsia"/>
          <w:b/>
          <w:lang w:eastAsia="zh-CN"/>
        </w:rPr>
        <w:t>P</w:t>
      </w:r>
      <w:r w:rsidRPr="00817FDB">
        <w:rPr>
          <w:b/>
          <w:lang w:eastAsia="zh-CN"/>
        </w:rPr>
        <w:t xml:space="preserve">roposal 1: </w:t>
      </w:r>
      <w:r>
        <w:rPr>
          <w:b/>
          <w:lang w:eastAsia="zh-CN"/>
        </w:rPr>
        <w:t>It is proposed to define power class signalling for intra-band concurrent operation.</w:t>
      </w:r>
    </w:p>
    <w:p w:rsidR="00F06550" w:rsidRDefault="00F06550" w:rsidP="00F06550">
      <w:pPr>
        <w:rPr>
          <w:b/>
          <w:lang w:eastAsia="zh-CN"/>
        </w:rPr>
      </w:pPr>
      <w:r>
        <w:rPr>
          <w:b/>
          <w:lang w:eastAsia="zh-CN"/>
        </w:rPr>
        <w:t>Proposal 2: For other scenario of PC2 V2X, no new PC2 capability signalling is needed.</w:t>
      </w:r>
    </w:p>
    <w:p w:rsidR="00F06550" w:rsidRPr="00817FDB" w:rsidRDefault="00F06550" w:rsidP="00F06550">
      <w:pPr>
        <w:rPr>
          <w:b/>
          <w:lang w:eastAsia="zh-CN"/>
        </w:rPr>
      </w:pPr>
      <w:r>
        <w:rPr>
          <w:b/>
          <w:lang w:eastAsia="zh-CN"/>
        </w:rPr>
        <w:t>Proposal 3: Send an LS to RAN2 to inform the capability design request.</w:t>
      </w:r>
    </w:p>
    <w:p w:rsidR="00DB2AC9" w:rsidRPr="000A4C5A" w:rsidRDefault="00DB2AC9" w:rsidP="00DB2AC9">
      <w:pPr>
        <w:pStyle w:val="1"/>
      </w:pPr>
      <w:r w:rsidRPr="000A4C5A">
        <w:rPr>
          <w:rFonts w:hint="eastAsia"/>
        </w:rPr>
        <w:t>Reference</w:t>
      </w:r>
    </w:p>
    <w:bookmarkEnd w:id="2"/>
    <w:p w:rsidR="001F4672" w:rsidRDefault="008E50A8" w:rsidP="008E50A8">
      <w:pPr>
        <w:numPr>
          <w:ilvl w:val="0"/>
          <w:numId w:val="2"/>
        </w:numPr>
        <w:rPr>
          <w:lang w:val="en-US" w:eastAsia="zh-CN"/>
        </w:rPr>
      </w:pPr>
      <w:r w:rsidRPr="008E50A8">
        <w:rPr>
          <w:lang w:eastAsia="zh-CN"/>
        </w:rPr>
        <w:t>R4-2107872</w:t>
      </w:r>
      <w:r w:rsidRPr="008E50A8">
        <w:rPr>
          <w:lang w:eastAsia="zh-CN"/>
        </w:rPr>
        <w:tab/>
        <w:t>WF on PC2 NR V2X</w:t>
      </w:r>
      <w:r>
        <w:rPr>
          <w:lang w:val="en-US" w:eastAsia="zh-CN"/>
        </w:rPr>
        <w:t xml:space="preserve">, </w:t>
      </w:r>
      <w:r w:rsidRPr="00EC6E99">
        <w:rPr>
          <w:lang w:val="en-US" w:eastAsia="zh-CN"/>
        </w:rPr>
        <w:t>Huawei, HiSilicon</w:t>
      </w:r>
    </w:p>
    <w:p w:rsidR="00817FDB" w:rsidRDefault="00817FDB" w:rsidP="00817FDB">
      <w:pPr>
        <w:numPr>
          <w:ilvl w:val="0"/>
          <w:numId w:val="2"/>
        </w:numPr>
        <w:rPr>
          <w:lang w:val="en-US" w:eastAsia="zh-CN"/>
        </w:rPr>
      </w:pPr>
      <w:r w:rsidRPr="00817FDB">
        <w:rPr>
          <w:lang w:val="en-US" w:eastAsia="zh-CN"/>
        </w:rPr>
        <w:t>R4-2110022</w:t>
      </w:r>
      <w:r>
        <w:rPr>
          <w:lang w:val="en-US" w:eastAsia="zh-CN"/>
        </w:rPr>
        <w:tab/>
      </w:r>
      <w:r w:rsidRPr="00817FDB">
        <w:rPr>
          <w:lang w:val="en-US" w:eastAsia="zh-CN"/>
        </w:rPr>
        <w:t>f</w:t>
      </w:r>
      <w:r>
        <w:rPr>
          <w:lang w:val="en-US" w:eastAsia="zh-CN"/>
        </w:rPr>
        <w:t>urther discussion on HPUE signa</w:t>
      </w:r>
      <w:r w:rsidRPr="00817FDB">
        <w:rPr>
          <w:lang w:val="en-US" w:eastAsia="zh-CN"/>
        </w:rPr>
        <w:t>ling issue</w:t>
      </w:r>
      <w:r>
        <w:rPr>
          <w:lang w:val="en-US" w:eastAsia="zh-CN"/>
        </w:rPr>
        <w:t>, Xiaomi</w:t>
      </w:r>
    </w:p>
    <w:p w:rsidR="0002037D" w:rsidRPr="008E50A8" w:rsidRDefault="0002037D" w:rsidP="0002037D">
      <w:pPr>
        <w:numPr>
          <w:ilvl w:val="0"/>
          <w:numId w:val="2"/>
        </w:numPr>
        <w:rPr>
          <w:lang w:val="en-US" w:eastAsia="zh-CN"/>
        </w:rPr>
      </w:pPr>
      <w:r w:rsidRPr="0002037D">
        <w:rPr>
          <w:lang w:val="en-US" w:eastAsia="zh-CN"/>
        </w:rPr>
        <w:t>R4-2103360</w:t>
      </w:r>
      <w:r>
        <w:rPr>
          <w:lang w:val="en-US" w:eastAsia="zh-CN"/>
        </w:rPr>
        <w:tab/>
      </w:r>
      <w:r w:rsidRPr="0002037D">
        <w:rPr>
          <w:lang w:val="en-US" w:eastAsia="zh-CN"/>
        </w:rPr>
        <w:t>LS on Signalling scheme of Transparent TxD</w:t>
      </w:r>
      <w:r>
        <w:rPr>
          <w:lang w:val="en-US" w:eastAsia="zh-CN"/>
        </w:rPr>
        <w:t>, VIVO</w:t>
      </w:r>
    </w:p>
    <w:sectPr w:rsidR="0002037D" w:rsidRPr="008E50A8"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19ED" w:rsidRDefault="004319ED" w:rsidP="00DB2AC9">
      <w:pPr>
        <w:spacing w:after="0"/>
      </w:pPr>
      <w:r>
        <w:separator/>
      </w:r>
    </w:p>
  </w:endnote>
  <w:endnote w:type="continuationSeparator" w:id="0">
    <w:p w:rsidR="004319ED" w:rsidRDefault="004319ED" w:rsidP="00DB2A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19ED" w:rsidRDefault="004319ED" w:rsidP="00DB2AC9">
      <w:pPr>
        <w:spacing w:after="0"/>
      </w:pPr>
      <w:r>
        <w:separator/>
      </w:r>
    </w:p>
  </w:footnote>
  <w:footnote w:type="continuationSeparator" w:id="0">
    <w:p w:rsidR="004319ED" w:rsidRDefault="004319ED" w:rsidP="00DB2A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740BE"/>
    <w:multiLevelType w:val="hybridMultilevel"/>
    <w:tmpl w:val="DFEAC55A"/>
    <w:lvl w:ilvl="0" w:tplc="ABCAFFF8">
      <w:start w:val="1"/>
      <w:numFmt w:val="bullet"/>
      <w:lvlText w:val="•"/>
      <w:lvlJc w:val="left"/>
      <w:pPr>
        <w:tabs>
          <w:tab w:val="num" w:pos="720"/>
        </w:tabs>
        <w:ind w:left="720" w:hanging="360"/>
      </w:pPr>
      <w:rPr>
        <w:rFonts w:ascii="Arial" w:hAnsi="Arial" w:hint="default"/>
      </w:rPr>
    </w:lvl>
    <w:lvl w:ilvl="1" w:tplc="580E9F62" w:tentative="1">
      <w:start w:val="1"/>
      <w:numFmt w:val="bullet"/>
      <w:lvlText w:val="•"/>
      <w:lvlJc w:val="left"/>
      <w:pPr>
        <w:tabs>
          <w:tab w:val="num" w:pos="1440"/>
        </w:tabs>
        <w:ind w:left="1440" w:hanging="360"/>
      </w:pPr>
      <w:rPr>
        <w:rFonts w:ascii="Arial" w:hAnsi="Arial" w:hint="default"/>
      </w:rPr>
    </w:lvl>
    <w:lvl w:ilvl="2" w:tplc="FE76AB46" w:tentative="1">
      <w:start w:val="1"/>
      <w:numFmt w:val="bullet"/>
      <w:lvlText w:val="•"/>
      <w:lvlJc w:val="left"/>
      <w:pPr>
        <w:tabs>
          <w:tab w:val="num" w:pos="2160"/>
        </w:tabs>
        <w:ind w:left="2160" w:hanging="360"/>
      </w:pPr>
      <w:rPr>
        <w:rFonts w:ascii="Arial" w:hAnsi="Arial" w:hint="default"/>
      </w:rPr>
    </w:lvl>
    <w:lvl w:ilvl="3" w:tplc="13D0787E" w:tentative="1">
      <w:start w:val="1"/>
      <w:numFmt w:val="bullet"/>
      <w:lvlText w:val="•"/>
      <w:lvlJc w:val="left"/>
      <w:pPr>
        <w:tabs>
          <w:tab w:val="num" w:pos="2880"/>
        </w:tabs>
        <w:ind w:left="2880" w:hanging="360"/>
      </w:pPr>
      <w:rPr>
        <w:rFonts w:ascii="Arial" w:hAnsi="Arial" w:hint="default"/>
      </w:rPr>
    </w:lvl>
    <w:lvl w:ilvl="4" w:tplc="05CCD3A2" w:tentative="1">
      <w:start w:val="1"/>
      <w:numFmt w:val="bullet"/>
      <w:lvlText w:val="•"/>
      <w:lvlJc w:val="left"/>
      <w:pPr>
        <w:tabs>
          <w:tab w:val="num" w:pos="3600"/>
        </w:tabs>
        <w:ind w:left="3600" w:hanging="360"/>
      </w:pPr>
      <w:rPr>
        <w:rFonts w:ascii="Arial" w:hAnsi="Arial" w:hint="default"/>
      </w:rPr>
    </w:lvl>
    <w:lvl w:ilvl="5" w:tplc="9B04838C" w:tentative="1">
      <w:start w:val="1"/>
      <w:numFmt w:val="bullet"/>
      <w:lvlText w:val="•"/>
      <w:lvlJc w:val="left"/>
      <w:pPr>
        <w:tabs>
          <w:tab w:val="num" w:pos="4320"/>
        </w:tabs>
        <w:ind w:left="4320" w:hanging="360"/>
      </w:pPr>
      <w:rPr>
        <w:rFonts w:ascii="Arial" w:hAnsi="Arial" w:hint="default"/>
      </w:rPr>
    </w:lvl>
    <w:lvl w:ilvl="6" w:tplc="0270C0E8" w:tentative="1">
      <w:start w:val="1"/>
      <w:numFmt w:val="bullet"/>
      <w:lvlText w:val="•"/>
      <w:lvlJc w:val="left"/>
      <w:pPr>
        <w:tabs>
          <w:tab w:val="num" w:pos="5040"/>
        </w:tabs>
        <w:ind w:left="5040" w:hanging="360"/>
      </w:pPr>
      <w:rPr>
        <w:rFonts w:ascii="Arial" w:hAnsi="Arial" w:hint="default"/>
      </w:rPr>
    </w:lvl>
    <w:lvl w:ilvl="7" w:tplc="3F1ED6BA" w:tentative="1">
      <w:start w:val="1"/>
      <w:numFmt w:val="bullet"/>
      <w:lvlText w:val="•"/>
      <w:lvlJc w:val="left"/>
      <w:pPr>
        <w:tabs>
          <w:tab w:val="num" w:pos="5760"/>
        </w:tabs>
        <w:ind w:left="5760" w:hanging="360"/>
      </w:pPr>
      <w:rPr>
        <w:rFonts w:ascii="Arial" w:hAnsi="Arial" w:hint="default"/>
      </w:rPr>
    </w:lvl>
    <w:lvl w:ilvl="8" w:tplc="56F0A63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DD5F2B"/>
    <w:multiLevelType w:val="multilevel"/>
    <w:tmpl w:val="3F18EDBA"/>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2976"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27454567"/>
    <w:multiLevelType w:val="hybridMultilevel"/>
    <w:tmpl w:val="9A0AF022"/>
    <w:lvl w:ilvl="0" w:tplc="D37E2A5E">
      <w:start w:val="1"/>
      <w:numFmt w:val="bullet"/>
      <w:lvlText w:val="•"/>
      <w:lvlJc w:val="left"/>
      <w:pPr>
        <w:tabs>
          <w:tab w:val="num" w:pos="720"/>
        </w:tabs>
        <w:ind w:left="720" w:hanging="360"/>
      </w:pPr>
      <w:rPr>
        <w:rFonts w:ascii="Arial" w:hAnsi="Arial" w:hint="default"/>
      </w:rPr>
    </w:lvl>
    <w:lvl w:ilvl="1" w:tplc="D05268A6">
      <w:start w:val="1"/>
      <w:numFmt w:val="bullet"/>
      <w:lvlText w:val="•"/>
      <w:lvlJc w:val="left"/>
      <w:pPr>
        <w:tabs>
          <w:tab w:val="num" w:pos="1440"/>
        </w:tabs>
        <w:ind w:left="1440" w:hanging="360"/>
      </w:pPr>
      <w:rPr>
        <w:rFonts w:ascii="Arial" w:hAnsi="Arial" w:hint="default"/>
      </w:rPr>
    </w:lvl>
    <w:lvl w:ilvl="2" w:tplc="04AC9494">
      <w:start w:val="1"/>
      <w:numFmt w:val="bullet"/>
      <w:lvlText w:val="•"/>
      <w:lvlJc w:val="left"/>
      <w:pPr>
        <w:tabs>
          <w:tab w:val="num" w:pos="2160"/>
        </w:tabs>
        <w:ind w:left="2160" w:hanging="360"/>
      </w:pPr>
      <w:rPr>
        <w:rFonts w:ascii="Arial" w:hAnsi="Arial" w:hint="default"/>
      </w:rPr>
    </w:lvl>
    <w:lvl w:ilvl="3" w:tplc="87FEB456" w:tentative="1">
      <w:start w:val="1"/>
      <w:numFmt w:val="bullet"/>
      <w:lvlText w:val="•"/>
      <w:lvlJc w:val="left"/>
      <w:pPr>
        <w:tabs>
          <w:tab w:val="num" w:pos="2880"/>
        </w:tabs>
        <w:ind w:left="2880" w:hanging="360"/>
      </w:pPr>
      <w:rPr>
        <w:rFonts w:ascii="Arial" w:hAnsi="Arial" w:hint="default"/>
      </w:rPr>
    </w:lvl>
    <w:lvl w:ilvl="4" w:tplc="C69C03E4" w:tentative="1">
      <w:start w:val="1"/>
      <w:numFmt w:val="bullet"/>
      <w:lvlText w:val="•"/>
      <w:lvlJc w:val="left"/>
      <w:pPr>
        <w:tabs>
          <w:tab w:val="num" w:pos="3600"/>
        </w:tabs>
        <w:ind w:left="3600" w:hanging="360"/>
      </w:pPr>
      <w:rPr>
        <w:rFonts w:ascii="Arial" w:hAnsi="Arial" w:hint="default"/>
      </w:rPr>
    </w:lvl>
    <w:lvl w:ilvl="5" w:tplc="9440D8C4" w:tentative="1">
      <w:start w:val="1"/>
      <w:numFmt w:val="bullet"/>
      <w:lvlText w:val="•"/>
      <w:lvlJc w:val="left"/>
      <w:pPr>
        <w:tabs>
          <w:tab w:val="num" w:pos="4320"/>
        </w:tabs>
        <w:ind w:left="4320" w:hanging="360"/>
      </w:pPr>
      <w:rPr>
        <w:rFonts w:ascii="Arial" w:hAnsi="Arial" w:hint="default"/>
      </w:rPr>
    </w:lvl>
    <w:lvl w:ilvl="6" w:tplc="5BCE6FC6" w:tentative="1">
      <w:start w:val="1"/>
      <w:numFmt w:val="bullet"/>
      <w:lvlText w:val="•"/>
      <w:lvlJc w:val="left"/>
      <w:pPr>
        <w:tabs>
          <w:tab w:val="num" w:pos="5040"/>
        </w:tabs>
        <w:ind w:left="5040" w:hanging="360"/>
      </w:pPr>
      <w:rPr>
        <w:rFonts w:ascii="Arial" w:hAnsi="Arial" w:hint="default"/>
      </w:rPr>
    </w:lvl>
    <w:lvl w:ilvl="7" w:tplc="93802B96" w:tentative="1">
      <w:start w:val="1"/>
      <w:numFmt w:val="bullet"/>
      <w:lvlText w:val="•"/>
      <w:lvlJc w:val="left"/>
      <w:pPr>
        <w:tabs>
          <w:tab w:val="num" w:pos="5760"/>
        </w:tabs>
        <w:ind w:left="5760" w:hanging="360"/>
      </w:pPr>
      <w:rPr>
        <w:rFonts w:ascii="Arial" w:hAnsi="Arial" w:hint="default"/>
      </w:rPr>
    </w:lvl>
    <w:lvl w:ilvl="8" w:tplc="69EC144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4DB51BF"/>
    <w:multiLevelType w:val="hybridMultilevel"/>
    <w:tmpl w:val="B0F428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F6C2748"/>
    <w:multiLevelType w:val="hybridMultilevel"/>
    <w:tmpl w:val="80362D60"/>
    <w:lvl w:ilvl="0" w:tplc="04466044">
      <w:start w:val="1"/>
      <w:numFmt w:val="bullet"/>
      <w:lvlText w:val=""/>
      <w:lvlJc w:val="left"/>
      <w:pPr>
        <w:tabs>
          <w:tab w:val="num" w:pos="720"/>
        </w:tabs>
        <w:ind w:left="720" w:hanging="360"/>
      </w:pPr>
      <w:rPr>
        <w:rFonts w:ascii="Wingdings" w:hAnsi="Wingdings" w:hint="default"/>
      </w:rPr>
    </w:lvl>
    <w:lvl w:ilvl="1" w:tplc="84985E3E">
      <w:numFmt w:val="none"/>
      <w:lvlText w:val=""/>
      <w:lvlJc w:val="left"/>
      <w:pPr>
        <w:tabs>
          <w:tab w:val="num" w:pos="360"/>
        </w:tabs>
      </w:pPr>
    </w:lvl>
    <w:lvl w:ilvl="2" w:tplc="E84066A8" w:tentative="1">
      <w:start w:val="1"/>
      <w:numFmt w:val="bullet"/>
      <w:lvlText w:val=""/>
      <w:lvlJc w:val="left"/>
      <w:pPr>
        <w:tabs>
          <w:tab w:val="num" w:pos="2160"/>
        </w:tabs>
        <w:ind w:left="2160" w:hanging="360"/>
      </w:pPr>
      <w:rPr>
        <w:rFonts w:ascii="Wingdings" w:hAnsi="Wingdings" w:hint="default"/>
      </w:rPr>
    </w:lvl>
    <w:lvl w:ilvl="3" w:tplc="AE5C9972" w:tentative="1">
      <w:start w:val="1"/>
      <w:numFmt w:val="bullet"/>
      <w:lvlText w:val=""/>
      <w:lvlJc w:val="left"/>
      <w:pPr>
        <w:tabs>
          <w:tab w:val="num" w:pos="2880"/>
        </w:tabs>
        <w:ind w:left="2880" w:hanging="360"/>
      </w:pPr>
      <w:rPr>
        <w:rFonts w:ascii="Wingdings" w:hAnsi="Wingdings" w:hint="default"/>
      </w:rPr>
    </w:lvl>
    <w:lvl w:ilvl="4" w:tplc="1944A0B6" w:tentative="1">
      <w:start w:val="1"/>
      <w:numFmt w:val="bullet"/>
      <w:lvlText w:val=""/>
      <w:lvlJc w:val="left"/>
      <w:pPr>
        <w:tabs>
          <w:tab w:val="num" w:pos="3600"/>
        </w:tabs>
        <w:ind w:left="3600" w:hanging="360"/>
      </w:pPr>
      <w:rPr>
        <w:rFonts w:ascii="Wingdings" w:hAnsi="Wingdings" w:hint="default"/>
      </w:rPr>
    </w:lvl>
    <w:lvl w:ilvl="5" w:tplc="E174E182" w:tentative="1">
      <w:start w:val="1"/>
      <w:numFmt w:val="bullet"/>
      <w:lvlText w:val=""/>
      <w:lvlJc w:val="left"/>
      <w:pPr>
        <w:tabs>
          <w:tab w:val="num" w:pos="4320"/>
        </w:tabs>
        <w:ind w:left="4320" w:hanging="360"/>
      </w:pPr>
      <w:rPr>
        <w:rFonts w:ascii="Wingdings" w:hAnsi="Wingdings" w:hint="default"/>
      </w:rPr>
    </w:lvl>
    <w:lvl w:ilvl="6" w:tplc="C9624478" w:tentative="1">
      <w:start w:val="1"/>
      <w:numFmt w:val="bullet"/>
      <w:lvlText w:val=""/>
      <w:lvlJc w:val="left"/>
      <w:pPr>
        <w:tabs>
          <w:tab w:val="num" w:pos="5040"/>
        </w:tabs>
        <w:ind w:left="5040" w:hanging="360"/>
      </w:pPr>
      <w:rPr>
        <w:rFonts w:ascii="Wingdings" w:hAnsi="Wingdings" w:hint="default"/>
      </w:rPr>
    </w:lvl>
    <w:lvl w:ilvl="7" w:tplc="3B7EACF8" w:tentative="1">
      <w:start w:val="1"/>
      <w:numFmt w:val="bullet"/>
      <w:lvlText w:val=""/>
      <w:lvlJc w:val="left"/>
      <w:pPr>
        <w:tabs>
          <w:tab w:val="num" w:pos="5760"/>
        </w:tabs>
        <w:ind w:left="5760" w:hanging="360"/>
      </w:pPr>
      <w:rPr>
        <w:rFonts w:ascii="Wingdings" w:hAnsi="Wingdings" w:hint="default"/>
      </w:rPr>
    </w:lvl>
    <w:lvl w:ilvl="8" w:tplc="28F0C358"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FF0"/>
    <w:rsid w:val="000048C2"/>
    <w:rsid w:val="0001330C"/>
    <w:rsid w:val="0002037D"/>
    <w:rsid w:val="0003136E"/>
    <w:rsid w:val="00076FAA"/>
    <w:rsid w:val="00081ABB"/>
    <w:rsid w:val="0011094C"/>
    <w:rsid w:val="00115B38"/>
    <w:rsid w:val="00153FF0"/>
    <w:rsid w:val="00167A00"/>
    <w:rsid w:val="0019167E"/>
    <w:rsid w:val="001E0BF5"/>
    <w:rsid w:val="001F4672"/>
    <w:rsid w:val="00260C91"/>
    <w:rsid w:val="00263744"/>
    <w:rsid w:val="00271175"/>
    <w:rsid w:val="00284B35"/>
    <w:rsid w:val="002A553E"/>
    <w:rsid w:val="002C2022"/>
    <w:rsid w:val="002D2F74"/>
    <w:rsid w:val="002E1EB1"/>
    <w:rsid w:val="00315710"/>
    <w:rsid w:val="00323263"/>
    <w:rsid w:val="00345A95"/>
    <w:rsid w:val="003824FC"/>
    <w:rsid w:val="00401396"/>
    <w:rsid w:val="004319ED"/>
    <w:rsid w:val="00477BCE"/>
    <w:rsid w:val="00480F2E"/>
    <w:rsid w:val="004C1C43"/>
    <w:rsid w:val="00517EAB"/>
    <w:rsid w:val="0052288E"/>
    <w:rsid w:val="00546130"/>
    <w:rsid w:val="005662AB"/>
    <w:rsid w:val="00594B57"/>
    <w:rsid w:val="005A03A7"/>
    <w:rsid w:val="005B1762"/>
    <w:rsid w:val="005C016E"/>
    <w:rsid w:val="005C73C6"/>
    <w:rsid w:val="00605AC6"/>
    <w:rsid w:val="0062790E"/>
    <w:rsid w:val="006318F5"/>
    <w:rsid w:val="00641E42"/>
    <w:rsid w:val="006474F1"/>
    <w:rsid w:val="00692D6B"/>
    <w:rsid w:val="00773B7D"/>
    <w:rsid w:val="0079014C"/>
    <w:rsid w:val="007A4AC6"/>
    <w:rsid w:val="007E196B"/>
    <w:rsid w:val="007F2979"/>
    <w:rsid w:val="007F54FC"/>
    <w:rsid w:val="008006DE"/>
    <w:rsid w:val="00803B0C"/>
    <w:rsid w:val="00805BF5"/>
    <w:rsid w:val="00817FDB"/>
    <w:rsid w:val="008578DE"/>
    <w:rsid w:val="00871B03"/>
    <w:rsid w:val="008D0CAC"/>
    <w:rsid w:val="008E4D23"/>
    <w:rsid w:val="008E50A8"/>
    <w:rsid w:val="00951CF8"/>
    <w:rsid w:val="00984A1B"/>
    <w:rsid w:val="00992D9C"/>
    <w:rsid w:val="009A2700"/>
    <w:rsid w:val="009B75C0"/>
    <w:rsid w:val="00A04E47"/>
    <w:rsid w:val="00A10E75"/>
    <w:rsid w:val="00A24FEA"/>
    <w:rsid w:val="00A3401F"/>
    <w:rsid w:val="00A46759"/>
    <w:rsid w:val="00A57A1B"/>
    <w:rsid w:val="00A652AE"/>
    <w:rsid w:val="00A84FCD"/>
    <w:rsid w:val="00AC0B92"/>
    <w:rsid w:val="00B03CB3"/>
    <w:rsid w:val="00B454C2"/>
    <w:rsid w:val="00B5385D"/>
    <w:rsid w:val="00B87165"/>
    <w:rsid w:val="00B95EA3"/>
    <w:rsid w:val="00BA648E"/>
    <w:rsid w:val="00BB408C"/>
    <w:rsid w:val="00BE2F01"/>
    <w:rsid w:val="00C3221C"/>
    <w:rsid w:val="00C37E83"/>
    <w:rsid w:val="00C42119"/>
    <w:rsid w:val="00C7497C"/>
    <w:rsid w:val="00C75255"/>
    <w:rsid w:val="00C83690"/>
    <w:rsid w:val="00CA61A8"/>
    <w:rsid w:val="00CA6327"/>
    <w:rsid w:val="00CA75C2"/>
    <w:rsid w:val="00CB6C89"/>
    <w:rsid w:val="00CC6B87"/>
    <w:rsid w:val="00CE2D4C"/>
    <w:rsid w:val="00CE6AC7"/>
    <w:rsid w:val="00CF3C50"/>
    <w:rsid w:val="00D03608"/>
    <w:rsid w:val="00D15177"/>
    <w:rsid w:val="00D17695"/>
    <w:rsid w:val="00D30509"/>
    <w:rsid w:val="00D42672"/>
    <w:rsid w:val="00D607D4"/>
    <w:rsid w:val="00D938AB"/>
    <w:rsid w:val="00DB1B79"/>
    <w:rsid w:val="00DB2AC9"/>
    <w:rsid w:val="00DD4592"/>
    <w:rsid w:val="00E02E23"/>
    <w:rsid w:val="00E47A6C"/>
    <w:rsid w:val="00E54E8F"/>
    <w:rsid w:val="00E9533D"/>
    <w:rsid w:val="00EA01BC"/>
    <w:rsid w:val="00EB6689"/>
    <w:rsid w:val="00EC6E99"/>
    <w:rsid w:val="00EE1E6A"/>
    <w:rsid w:val="00EF408F"/>
    <w:rsid w:val="00EF4F82"/>
    <w:rsid w:val="00F00E31"/>
    <w:rsid w:val="00F06550"/>
    <w:rsid w:val="00F06A32"/>
    <w:rsid w:val="00F126FB"/>
    <w:rsid w:val="00F51CE6"/>
    <w:rsid w:val="00F93B56"/>
    <w:rsid w:val="00FA6A5D"/>
    <w:rsid w:val="00FE3C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EC1095"/>
  <w15:chartTrackingRefBased/>
  <w15:docId w15:val="{D62F187B-D35C-4D1B-A0B8-505C426FA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B2AC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1"/>
    <w:qFormat/>
    <w:rsid w:val="00DB2AC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1"/>
    <w:qFormat/>
    <w:rsid w:val="00DB2AC9"/>
    <w:pPr>
      <w:numPr>
        <w:ilvl w:val="1"/>
      </w:numPr>
      <w:pBdr>
        <w:top w:val="none" w:sz="0" w:space="0" w:color="auto"/>
      </w:pBdr>
      <w:spacing w:before="180"/>
      <w:ind w:left="1417"/>
      <w:outlineLvl w:val="1"/>
    </w:pPr>
    <w:rPr>
      <w:sz w:val="28"/>
    </w:rPr>
  </w:style>
  <w:style w:type="paragraph" w:styleId="3">
    <w:name w:val="heading 3"/>
    <w:aliases w:val="Underrubrik2,H3"/>
    <w:basedOn w:val="2"/>
    <w:next w:val="a1"/>
    <w:link w:val="30"/>
    <w:qFormat/>
    <w:rsid w:val="00DB2AC9"/>
    <w:pPr>
      <w:numPr>
        <w:ilvl w:val="2"/>
      </w:numPr>
      <w:tabs>
        <w:tab w:val="num" w:pos="360"/>
      </w:tabs>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0"/>
    <w:qFormat/>
    <w:rsid w:val="00DB2AC9"/>
    <w:pPr>
      <w:numPr>
        <w:ilvl w:val="3"/>
      </w:numPr>
      <w:tabs>
        <w:tab w:val="num" w:pos="360"/>
      </w:tabs>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DB2A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2"/>
    <w:link w:val="a5"/>
    <w:uiPriority w:val="99"/>
    <w:rsid w:val="00DB2AC9"/>
    <w:rPr>
      <w:sz w:val="18"/>
      <w:szCs w:val="18"/>
    </w:rPr>
  </w:style>
  <w:style w:type="paragraph" w:styleId="a7">
    <w:name w:val="footer"/>
    <w:basedOn w:val="a1"/>
    <w:link w:val="a8"/>
    <w:uiPriority w:val="99"/>
    <w:unhideWhenUsed/>
    <w:rsid w:val="00DB2AC9"/>
    <w:pPr>
      <w:tabs>
        <w:tab w:val="center" w:pos="4153"/>
        <w:tab w:val="right" w:pos="8306"/>
      </w:tabs>
      <w:snapToGrid w:val="0"/>
    </w:pPr>
    <w:rPr>
      <w:sz w:val="18"/>
      <w:szCs w:val="18"/>
    </w:rPr>
  </w:style>
  <w:style w:type="character" w:customStyle="1" w:styleId="a8">
    <w:name w:val="页脚 字符"/>
    <w:basedOn w:val="a2"/>
    <w:link w:val="a7"/>
    <w:uiPriority w:val="99"/>
    <w:rsid w:val="00DB2AC9"/>
    <w:rPr>
      <w:sz w:val="18"/>
      <w:szCs w:val="18"/>
    </w:rPr>
  </w:style>
  <w:style w:type="character" w:customStyle="1" w:styleId="10">
    <w:name w:val="标题 1 字符"/>
    <w:basedOn w:val="a2"/>
    <w:uiPriority w:val="9"/>
    <w:rsid w:val="00DB2AC9"/>
    <w:rPr>
      <w:rFonts w:ascii="Times New Roman" w:eastAsia="宋体" w:hAnsi="Times New Roman" w:cs="Times New Roman"/>
      <w:b/>
      <w:bCs/>
      <w:kern w:val="44"/>
      <w:sz w:val="44"/>
      <w:szCs w:val="44"/>
      <w:lang w:val="en-GB" w:eastAsia="en-US"/>
    </w:rPr>
  </w:style>
  <w:style w:type="character" w:customStyle="1" w:styleId="20">
    <w:name w:val="标题 2 字符"/>
    <w:basedOn w:val="a2"/>
    <w:uiPriority w:val="9"/>
    <w:semiHidden/>
    <w:rsid w:val="00DB2AC9"/>
    <w:rPr>
      <w:rFonts w:asciiTheme="majorHAnsi" w:eastAsiaTheme="majorEastAsia" w:hAnsiTheme="majorHAnsi" w:cstheme="majorBidi"/>
      <w:b/>
      <w:bCs/>
      <w:kern w:val="0"/>
      <w:sz w:val="32"/>
      <w:szCs w:val="32"/>
      <w:lang w:val="en-GB" w:eastAsia="en-US"/>
    </w:rPr>
  </w:style>
  <w:style w:type="character" w:customStyle="1" w:styleId="30">
    <w:name w:val="标题 3 字符"/>
    <w:aliases w:val="Underrubrik2 字符,H3 字符"/>
    <w:basedOn w:val="a2"/>
    <w:link w:val="3"/>
    <w:rsid w:val="00DB2AC9"/>
    <w:rPr>
      <w:rFonts w:ascii="Arial" w:eastAsia="宋体"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DB2AC9"/>
    <w:rPr>
      <w:rFonts w:ascii="Arial" w:eastAsia="宋体" w:hAnsi="Arial" w:cs="Times New Roman"/>
      <w:kern w:val="0"/>
      <w:sz w:val="24"/>
      <w:szCs w:val="20"/>
      <w:lang w:val="en-GB" w:eastAsia="en-US"/>
    </w:rPr>
  </w:style>
  <w:style w:type="character" w:customStyle="1" w:styleId="11">
    <w:name w:val="标题 1 字符1"/>
    <w:aliases w:val="H1 字符"/>
    <w:link w:val="1"/>
    <w:rsid w:val="00DB2AC9"/>
    <w:rPr>
      <w:rFonts w:ascii="Arial" w:eastAsia="宋体" w:hAnsi="Arial" w:cs="Times New Roman"/>
      <w:kern w:val="0"/>
      <w:sz w:val="32"/>
      <w:szCs w:val="20"/>
      <w:lang w:val="en-GB" w:eastAsia="en-US"/>
    </w:rPr>
  </w:style>
  <w:style w:type="paragraph" w:customStyle="1" w:styleId="TAH">
    <w:name w:val="TAH"/>
    <w:basedOn w:val="TAC"/>
    <w:link w:val="TAHCar"/>
    <w:qFormat/>
    <w:rsid w:val="00DB2AC9"/>
    <w:rPr>
      <w:b/>
    </w:rPr>
  </w:style>
  <w:style w:type="paragraph" w:customStyle="1" w:styleId="TAC">
    <w:name w:val="TAC"/>
    <w:basedOn w:val="TAL"/>
    <w:link w:val="TACChar"/>
    <w:qFormat/>
    <w:rsid w:val="00DB2AC9"/>
    <w:pPr>
      <w:jc w:val="center"/>
    </w:pPr>
  </w:style>
  <w:style w:type="paragraph" w:customStyle="1" w:styleId="TAL">
    <w:name w:val="TAL"/>
    <w:basedOn w:val="a1"/>
    <w:link w:val="TALCar"/>
    <w:qFormat/>
    <w:rsid w:val="00DB2AC9"/>
    <w:pPr>
      <w:keepNext/>
      <w:keepLines/>
      <w:spacing w:after="0"/>
    </w:pPr>
    <w:rPr>
      <w:rFonts w:ascii="Arial" w:hAnsi="Arial"/>
      <w:sz w:val="18"/>
    </w:rPr>
  </w:style>
  <w:style w:type="paragraph" w:customStyle="1" w:styleId="TH">
    <w:name w:val="TH"/>
    <w:basedOn w:val="a1"/>
    <w:link w:val="THChar"/>
    <w:qFormat/>
    <w:rsid w:val="00DB2AC9"/>
    <w:pPr>
      <w:keepNext/>
      <w:keepLines/>
      <w:spacing w:before="60"/>
      <w:jc w:val="center"/>
    </w:pPr>
    <w:rPr>
      <w:rFonts w:ascii="Arial" w:hAnsi="Arial"/>
      <w:b/>
    </w:rPr>
  </w:style>
  <w:style w:type="paragraph" w:customStyle="1" w:styleId="CRCoverPage">
    <w:name w:val="CR Cover Page"/>
    <w:rsid w:val="00DB2AC9"/>
    <w:pPr>
      <w:spacing w:after="120"/>
    </w:pPr>
    <w:rPr>
      <w:rFonts w:ascii="Arial" w:eastAsia="MS Mincho" w:hAnsi="Arial" w:cs="Times New Roman"/>
      <w:kern w:val="0"/>
      <w:sz w:val="20"/>
      <w:szCs w:val="20"/>
      <w:lang w:val="en-GB" w:eastAsia="en-US"/>
    </w:rPr>
  </w:style>
  <w:style w:type="character" w:customStyle="1" w:styleId="TALCar">
    <w:name w:val="TAL Car"/>
    <w:link w:val="TAL"/>
    <w:qFormat/>
    <w:rsid w:val="00DB2AC9"/>
    <w:rPr>
      <w:rFonts w:ascii="Arial" w:eastAsia="宋体" w:hAnsi="Arial" w:cs="Times New Roman"/>
      <w:kern w:val="0"/>
      <w:sz w:val="18"/>
      <w:szCs w:val="20"/>
      <w:lang w:val="en-GB" w:eastAsia="en-US"/>
    </w:rPr>
  </w:style>
  <w:style w:type="character" w:customStyle="1" w:styleId="a9">
    <w:name w:val="首标题"/>
    <w:rsid w:val="00DB2AC9"/>
    <w:rPr>
      <w:rFonts w:ascii="Arial" w:eastAsia="宋体" w:hAnsi="Arial"/>
      <w:sz w:val="24"/>
      <w:lang w:val="en-US" w:eastAsia="zh-CN" w:bidi="ar-SA"/>
    </w:rPr>
  </w:style>
  <w:style w:type="paragraph" w:customStyle="1" w:styleId="a">
    <w:name w:val="插图题注"/>
    <w:basedOn w:val="a1"/>
    <w:rsid w:val="00DB2AC9"/>
    <w:pPr>
      <w:numPr>
        <w:ilvl w:val="7"/>
        <w:numId w:val="1"/>
      </w:numPr>
    </w:pPr>
  </w:style>
  <w:style w:type="paragraph" w:customStyle="1" w:styleId="a0">
    <w:name w:val="表格题注"/>
    <w:basedOn w:val="a1"/>
    <w:rsid w:val="00DB2AC9"/>
    <w:pPr>
      <w:numPr>
        <w:ilvl w:val="8"/>
        <w:numId w:val="1"/>
      </w:numPr>
    </w:pPr>
  </w:style>
  <w:style w:type="character" w:customStyle="1" w:styleId="THChar">
    <w:name w:val="TH Char"/>
    <w:link w:val="TH"/>
    <w:qFormat/>
    <w:rsid w:val="00DB2AC9"/>
    <w:rPr>
      <w:rFonts w:ascii="Arial" w:eastAsia="宋体" w:hAnsi="Arial" w:cs="Times New Roman"/>
      <w:b/>
      <w:kern w:val="0"/>
      <w:sz w:val="20"/>
      <w:szCs w:val="20"/>
      <w:lang w:val="en-GB" w:eastAsia="en-US"/>
    </w:rPr>
  </w:style>
  <w:style w:type="character" w:customStyle="1" w:styleId="21">
    <w:name w:val="标题 2 字符1"/>
    <w:link w:val="2"/>
    <w:rsid w:val="00DB2AC9"/>
    <w:rPr>
      <w:rFonts w:ascii="Arial" w:eastAsia="宋体" w:hAnsi="Arial" w:cs="Times New Roman"/>
      <w:kern w:val="0"/>
      <w:sz w:val="28"/>
      <w:szCs w:val="20"/>
      <w:lang w:val="en-GB" w:eastAsia="en-US"/>
    </w:rPr>
  </w:style>
  <w:style w:type="character" w:customStyle="1" w:styleId="Char">
    <w:name w:val="页脚 Char"/>
    <w:uiPriority w:val="99"/>
    <w:rsid w:val="00DB2AC9"/>
    <w:rPr>
      <w:rFonts w:ascii="Arial" w:eastAsia="宋体" w:hAnsi="Arial"/>
      <w:b/>
      <w:i/>
      <w:noProof/>
      <w:sz w:val="18"/>
      <w:lang w:val="en-GB" w:eastAsia="en-US"/>
    </w:rPr>
  </w:style>
  <w:style w:type="character" w:customStyle="1" w:styleId="TACChar">
    <w:name w:val="TAC Char"/>
    <w:link w:val="TAC"/>
    <w:qFormat/>
    <w:rsid w:val="00DB2AC9"/>
    <w:rPr>
      <w:rFonts w:ascii="Arial" w:eastAsia="宋体" w:hAnsi="Arial" w:cs="Times New Roman"/>
      <w:kern w:val="0"/>
      <w:sz w:val="18"/>
      <w:szCs w:val="20"/>
      <w:lang w:val="en-GB" w:eastAsia="en-US"/>
    </w:rPr>
  </w:style>
  <w:style w:type="character" w:customStyle="1" w:styleId="TAHCar">
    <w:name w:val="TAH Car"/>
    <w:link w:val="TAH"/>
    <w:qFormat/>
    <w:rsid w:val="00DB2AC9"/>
    <w:rPr>
      <w:rFonts w:ascii="Arial" w:eastAsia="宋体" w:hAnsi="Arial" w:cs="Times New Roman"/>
      <w:b/>
      <w:kern w:val="0"/>
      <w:sz w:val="18"/>
      <w:szCs w:val="20"/>
      <w:lang w:val="en-GB" w:eastAsia="en-US"/>
    </w:rPr>
  </w:style>
  <w:style w:type="table" w:styleId="aa">
    <w:name w:val="Table Grid"/>
    <w:basedOn w:val="a3"/>
    <w:uiPriority w:val="99"/>
    <w:rsid w:val="00F00E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b"/>
    <w:link w:val="B1Char"/>
    <w:rsid w:val="00F00E31"/>
    <w:pPr>
      <w:overflowPunct w:val="0"/>
      <w:autoSpaceDE w:val="0"/>
      <w:autoSpaceDN w:val="0"/>
      <w:adjustRightInd w:val="0"/>
      <w:ind w:left="568" w:firstLineChars="0" w:hanging="284"/>
      <w:contextualSpacing w:val="0"/>
      <w:textAlignment w:val="baseline"/>
    </w:pPr>
    <w:rPr>
      <w:rFonts w:eastAsia="Times New Roman"/>
      <w:lang w:eastAsia="en-GB"/>
    </w:rPr>
  </w:style>
  <w:style w:type="character" w:customStyle="1" w:styleId="B1Char">
    <w:name w:val="B1 Char"/>
    <w:link w:val="B1"/>
    <w:rsid w:val="00F00E31"/>
    <w:rPr>
      <w:rFonts w:ascii="Times New Roman" w:eastAsia="Times New Roman" w:hAnsi="Times New Roman" w:cs="Times New Roman"/>
      <w:kern w:val="0"/>
      <w:sz w:val="20"/>
      <w:szCs w:val="20"/>
      <w:lang w:val="en-GB" w:eastAsia="en-GB"/>
    </w:rPr>
  </w:style>
  <w:style w:type="paragraph" w:styleId="ab">
    <w:name w:val="List"/>
    <w:basedOn w:val="a1"/>
    <w:uiPriority w:val="99"/>
    <w:semiHidden/>
    <w:unhideWhenUsed/>
    <w:rsid w:val="00F00E31"/>
    <w:pPr>
      <w:ind w:left="200" w:hangingChars="200" w:hanging="200"/>
      <w:contextualSpacing/>
    </w:pPr>
  </w:style>
  <w:style w:type="paragraph" w:styleId="ac">
    <w:name w:val="List Paragraph"/>
    <w:basedOn w:val="a1"/>
    <w:uiPriority w:val="34"/>
    <w:qFormat/>
    <w:rsid w:val="00480F2E"/>
    <w:pPr>
      <w:ind w:firstLineChars="200" w:firstLine="420"/>
    </w:pPr>
  </w:style>
  <w:style w:type="paragraph" w:customStyle="1" w:styleId="22">
    <w:name w:val="标题2"/>
    <w:basedOn w:val="a1"/>
    <w:rsid w:val="00817FDB"/>
    <w:pPr>
      <w:widowControl w:val="0"/>
      <w:autoSpaceDE w:val="0"/>
      <w:autoSpaceDN w:val="0"/>
      <w:adjustRightInd w:val="0"/>
      <w:spacing w:after="0" w:line="360" w:lineRule="auto"/>
    </w:pPr>
    <w:rPr>
      <w:rFonts w:ascii="宋体"/>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2464730">
      <w:bodyDiv w:val="1"/>
      <w:marLeft w:val="0"/>
      <w:marRight w:val="0"/>
      <w:marTop w:val="0"/>
      <w:marBottom w:val="0"/>
      <w:divBdr>
        <w:top w:val="none" w:sz="0" w:space="0" w:color="auto"/>
        <w:left w:val="none" w:sz="0" w:space="0" w:color="auto"/>
        <w:bottom w:val="none" w:sz="0" w:space="0" w:color="auto"/>
        <w:right w:val="none" w:sz="0" w:space="0" w:color="auto"/>
      </w:divBdr>
      <w:divsChild>
        <w:div w:id="598683091">
          <w:marLeft w:val="547"/>
          <w:marRight w:val="0"/>
          <w:marTop w:val="96"/>
          <w:marBottom w:val="0"/>
          <w:divBdr>
            <w:top w:val="none" w:sz="0" w:space="0" w:color="auto"/>
            <w:left w:val="none" w:sz="0" w:space="0" w:color="auto"/>
            <w:bottom w:val="none" w:sz="0" w:space="0" w:color="auto"/>
            <w:right w:val="none" w:sz="0" w:space="0" w:color="auto"/>
          </w:divBdr>
        </w:div>
        <w:div w:id="305819981">
          <w:marLeft w:val="547"/>
          <w:marRight w:val="0"/>
          <w:marTop w:val="96"/>
          <w:marBottom w:val="0"/>
          <w:divBdr>
            <w:top w:val="none" w:sz="0" w:space="0" w:color="auto"/>
            <w:left w:val="none" w:sz="0" w:space="0" w:color="auto"/>
            <w:bottom w:val="none" w:sz="0" w:space="0" w:color="auto"/>
            <w:right w:val="none" w:sz="0" w:space="0" w:color="auto"/>
          </w:divBdr>
        </w:div>
      </w:divsChild>
    </w:div>
    <w:div w:id="1892227505">
      <w:bodyDiv w:val="1"/>
      <w:marLeft w:val="0"/>
      <w:marRight w:val="0"/>
      <w:marTop w:val="0"/>
      <w:marBottom w:val="0"/>
      <w:divBdr>
        <w:top w:val="none" w:sz="0" w:space="0" w:color="auto"/>
        <w:left w:val="none" w:sz="0" w:space="0" w:color="auto"/>
        <w:bottom w:val="none" w:sz="0" w:space="0" w:color="auto"/>
        <w:right w:val="none" w:sz="0" w:space="0" w:color="auto"/>
      </w:divBdr>
      <w:divsChild>
        <w:div w:id="660355195">
          <w:marLeft w:val="144"/>
          <w:marRight w:val="0"/>
          <w:marTop w:val="240"/>
          <w:marBottom w:val="40"/>
          <w:divBdr>
            <w:top w:val="none" w:sz="0" w:space="0" w:color="auto"/>
            <w:left w:val="none" w:sz="0" w:space="0" w:color="auto"/>
            <w:bottom w:val="none" w:sz="0" w:space="0" w:color="auto"/>
            <w:right w:val="none" w:sz="0" w:space="0" w:color="auto"/>
          </w:divBdr>
        </w:div>
        <w:div w:id="704327499">
          <w:marLeft w:val="605"/>
          <w:marRight w:val="0"/>
          <w:marTop w:val="40"/>
          <w:marBottom w:val="80"/>
          <w:divBdr>
            <w:top w:val="none" w:sz="0" w:space="0" w:color="auto"/>
            <w:left w:val="none" w:sz="0" w:space="0" w:color="auto"/>
            <w:bottom w:val="none" w:sz="0" w:space="0" w:color="auto"/>
            <w:right w:val="none" w:sz="0" w:space="0" w:color="auto"/>
          </w:divBdr>
        </w:div>
        <w:div w:id="432361990">
          <w:marLeft w:val="605"/>
          <w:marRight w:val="0"/>
          <w:marTop w:val="40"/>
          <w:marBottom w:val="80"/>
          <w:divBdr>
            <w:top w:val="none" w:sz="0" w:space="0" w:color="auto"/>
            <w:left w:val="none" w:sz="0" w:space="0" w:color="auto"/>
            <w:bottom w:val="none" w:sz="0" w:space="0" w:color="auto"/>
            <w:right w:val="none" w:sz="0" w:space="0" w:color="auto"/>
          </w:divBdr>
        </w:div>
        <w:div w:id="2107073436">
          <w:marLeft w:val="605"/>
          <w:marRight w:val="0"/>
          <w:marTop w:val="40"/>
          <w:marBottom w:val="80"/>
          <w:divBdr>
            <w:top w:val="none" w:sz="0" w:space="0" w:color="auto"/>
            <w:left w:val="none" w:sz="0" w:space="0" w:color="auto"/>
            <w:bottom w:val="none" w:sz="0" w:space="0" w:color="auto"/>
            <w:right w:val="none" w:sz="0" w:space="0" w:color="auto"/>
          </w:divBdr>
        </w:div>
        <w:div w:id="756024957">
          <w:marLeft w:val="605"/>
          <w:marRight w:val="0"/>
          <w:marTop w:val="40"/>
          <w:marBottom w:val="80"/>
          <w:divBdr>
            <w:top w:val="none" w:sz="0" w:space="0" w:color="auto"/>
            <w:left w:val="none" w:sz="0" w:space="0" w:color="auto"/>
            <w:bottom w:val="none" w:sz="0" w:space="0" w:color="auto"/>
            <w:right w:val="none" w:sz="0" w:space="0" w:color="auto"/>
          </w:divBdr>
        </w:div>
        <w:div w:id="1770003377">
          <w:marLeft w:val="605"/>
          <w:marRight w:val="0"/>
          <w:marTop w:val="40"/>
          <w:marBottom w:val="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34C47-F7EF-4C76-B410-8F6D486FA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308</TotalTime>
  <Pages>3</Pages>
  <Words>886</Words>
  <Characters>5053</Characters>
  <Application>Microsoft Office Word</Application>
  <DocSecurity>0</DocSecurity>
  <Lines>42</Lines>
  <Paragraphs>11</Paragraphs>
  <ScaleCrop>false</ScaleCrop>
  <Company/>
  <LinksUpToDate>false</LinksUpToDate>
  <CharactersWithSpaces>5928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Rui Zhou</dc:creator>
  <cp:keywords/>
  <dc:description/>
  <cp:lastModifiedBy>zhourui1@xiaomi.com</cp:lastModifiedBy>
  <cp:revision>15</cp:revision>
  <dcterms:created xsi:type="dcterms:W3CDTF">2021-05-09T02:33:00Z</dcterms:created>
  <dcterms:modified xsi:type="dcterms:W3CDTF">2021-08-06T05:59:00Z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761009ae786473b85d5ad1b79777f18">
    <vt:lpwstr>CWMUp0o1NhM/JiAhWlxePKOGF82hsv1wTQ0v5dZx8XvZoPTK1oYmAKtNJlLCv3tJQ7lXCC4xTMQb5GBrg0GvQKwHw==</vt:lpwstr>
  </property>
</Properties>
</file>